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5D_107/2017 vom 22. Juni 2017</w:t>
      </w:r>
    </w:p>
    <w:p>
      <w:r>
        <w:t>Bundesgericht, 2017-06-22, DE</w:t>
      </w:r>
    </w:p>
    <w:p>
      <w:r>
        <w:rPr>
          <w:b/>
        </w:rPr>
        <w:t xml:space="preserve">Quelle: </w:t>
      </w:r>
      <w:r>
        <w:t>https://mcp.opencaselaw.ch/entscheid/bger_5D_107_2017</w:t>
      </w:r>
    </w:p>
    <w:p>
      <w:r>
        <w:t>FR: TF 5D_107/2017 du 22 juin 2017</w:t>
      </w:r>
    </w:p>
    <w:p>
      <w:r>
        <w:t>IT: TF 5D_107/2017 del 22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als "Einsprache" bezeichnete Eingabe ist als subsidiäre Verfassungsbeschwerde entgegenzunehmen ( Art. 72 Abs. 2 lit. a, Art. 74 Abs. 1 lit. b und Art. 113 BGG ).</w:t>
      </w:r>
    </w:p>
    <w:p>
      <w:r>
        <w:rPr>
          <w:b/>
        </w:rPr>
        <w:t>E. 2</w:t>
      </w:r>
    </w:p>
    <w:p>
      <w:r>
        <w:t>Entgegen den Anforderungen von Art. 42 Abs. 1 BGG enthält die Beschwerde kein Rechtsbegehren; es ist aber klar, worauf der Beschwerdeführer zielt.</w:t>
      </w:r>
    </w:p>
    <w:p>
      <w:r>
        <w:rPr>
          <w:b/>
        </w:rPr>
        <w:t>E. 3</w:t>
      </w:r>
    </w:p>
    <w:p>
      <w:r>
        <w:t>Soweit der Beschwerdeführer geltend macht, er sei am 1. Juli 2016 von V.________ nach W.________ umgezogen, weshalb erstinstanzlich ein unzuständiger Richter entschieden habe, handelt es sich um ein neues und damit unzulässiges Vorbringen (Art. 99 Abs. 1 i.V.m. Art. 117 BGG ); im angefochtenen Entscheid ist davon nirgends die Rede und der Beschwerdeführer zeigt auch nicht auf, dass er Entsprechendes im kantonalen Verfahren geltend gemacht hätte.</w:t>
      </w:r>
    </w:p>
    <w:p>
      <w:r>
        <w:rPr>
          <w:b/>
        </w:rPr>
        <w:t>E. 4</w:t>
      </w:r>
    </w:p>
    <w:p>
      <w:r>
        <w:t>In der Sache beanstandet der Beschwerdeführer - wie er dies bereits vor Obergericht getan hat - die betriebene Forderung sowie die Berechnung des neuen Vermögens.</w:t>
      </w:r>
    </w:p>
    <w:p>
      <w:r>
        <w:t>Das Obergericht hat seinen Nichteintretensentscheid damit begründet, dass Art. 265a Abs. 1 SchKG ein Rechtsmittel gegen den summarischen Entscheid explizit ausschliesst, was sich dadurch rechtfertigt, dass der Schuldner gemäss Art. 265a Abs. 4 SchKG Klage auf Bestreitung des neuen Vermögens erheben kann.</w:t>
      </w:r>
    </w:p>
    <w:p>
      <w:r>
        <w:t>Die Beschwerde hat eine Begründung zu enthalten, in welcher in gedrängter Form dargelegt wird, inwiefern der angefochtene Entscheid Recht verletzt ( Art. 42 Abs. 2 BGG ), was eine Auseinandersetzung mit der Begründung des angefochtenen Entscheides erfordert ( BGE 140 III 115 E. 2 S. 116). Überdies sind nur Verfassungsrügen zulässig ( Art. 116 BGG ). Weder wurden solche erhoben noch erfolgt inhaltlich eine Auseinandersetzung mit dem angefochtenen Entscheid.</w:t>
      </w:r>
    </w:p>
    <w:p>
      <w:r>
        <w:rPr>
          <w:b/>
        </w:rPr>
        <w:t>E. 5</w:t>
      </w:r>
    </w:p>
    <w:p>
      <w:r>
        <w:t>Schliesslich kann offen bleiben, ob die Beschwerde entgegen dem äusseren Anschein auch als direkt gegen den erstinstanzlichen Entscheid gerichtet zu betrachten wäre: Zum einen fehlt es an der erforderlichen Letztinstanzlichkeit (vgl. dazu Urteil 5D_194/2016 vom 5. April 2017 E. 1.1), zum anderen an Verfassungsrügen (dazu E. 4).</w:t>
      </w:r>
    </w:p>
    <w:p>
      <w:r>
        <w:rPr>
          <w:b/>
        </w:rPr>
        <w:t>E. 6</w:t>
      </w:r>
    </w:p>
    <w:p>
      <w:r>
        <w:t>Nach dem Gesagten erweist sich die Beschwerde als offensichtlich unzulässig und offensichtlich unzureichend begründet, weshalb auf sie nicht eingetreten werden kann und das präsidierende Mitglied im vereinfachten Verfahren entscheidet ( Art. 108 Abs. 1 lit. a und b BGG ).</w:t>
      </w:r>
    </w:p>
    <w:p>
      <w:r>
        <w:rPr>
          <w:b/>
        </w:rPr>
        <w:t>E. 7</w:t>
      </w:r>
    </w:p>
    <w:p>
      <w:r>
        <w:t>Die Gerichtskosten sind dem Beschwerdeführer aufzuerlegen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