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105/2017 vom 17. August 2017</w:t>
      </w:r>
    </w:p>
    <w:p>
      <w:r>
        <w:t>Bundesgericht, 2017-08-17, FR</w:t>
      </w:r>
    </w:p>
    <w:p>
      <w:r>
        <w:rPr>
          <w:b/>
        </w:rPr>
        <w:t xml:space="preserve">Quelle: </w:t>
      </w:r>
      <w:r>
        <w:t>https://mcp.opencaselaw.ch/entscheid/bger_5D_105_2017</w:t>
      </w:r>
    </w:p>
    <w:p>
      <w:r>
        <w:t>FR: TF 5D 105/2017 du 17 août 2017</w:t>
      </w:r>
    </w:p>
    <w:p>
      <w:r>
        <w:t>IT: TF 5D 105/2017 del 17 agosto 2017</w:t>
      </w:r>
    </w:p>
    <w:p>
      <w:pPr>
        <w:pStyle w:val="Heading2"/>
      </w:pPr>
      <w:r>
        <w:t>Regeste</w:t>
      </w:r>
    </w:p>
    <w:p>
      <w:r>
        <w:t>opposition au séquestre | Droit des poursuites et faillites</w:t>
      </w:r>
    </w:p>
    <w:p>
      <w:pPr>
        <w:pStyle w:val="Heading2"/>
      </w:pPr>
      <w:r>
        <w:t>Erwägungen</w:t>
      </w:r>
    </w:p>
    <w:p>
      <w:r>
        <w:rPr>
          <w:b/>
        </w:rPr>
        <w:t>E. 1</w:t>
      </w:r>
    </w:p>
    <w:p>
      <w:r>
        <w:t>Le recours a été interjeté en temps utile (art. 100 al. 1 et 46 al. 2 LTF) à l'encontre d'une décision finale ( art. 90 LTF ) rendue en matière de poursuite pour dettes ( art. 72 al. 2 let. a LTF ) par un tribunal supérieur statuant sur recours ( art. 75 LTF ). La recourante, qui a été déboutée de ses conclusions par l'autorité précédente, a qualité pour recourir ( art. 76 al. 1 LTF ). La valeur litigieuse est inférieure à 30'000 fr., de sorte que seul le recours constitutionnel subsidiaire est ouvert ( art. 74 al. 1 let. b LTF cum art. 113 LTF ). En raison de la nature de la décision attaquée (cf. infra consid. 2.1), celle du recours est toutefois de moindre importance, seule une violation des droits constitutionnels pouvant être invoquée.</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133 IV 286 consid. 1.4; 133 II 249 consid. 1.4.2). Il n'entre pas en matière sur les critiques de nature appellatoire ( ATF 140 III 264 consid. 2.3).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2.2</w:t>
      </w:r>
    </w:p>
    <w:p>
      <w:r>
        <w:t>Le Tribunal fédéral conduit son raisonnement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393 consid. 7.1),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art. 106 al. 2 LTF ; ATF 140 III 264 consid. 2.3; 133 II 249 consid. 1.4.3). 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 ATF 137 I 58 consid. 4.1.2). En l'occurrence, la partie " III: Faits " développée par la recourante dans son écriture de recours sera ignorée en tant que les faits exposés s'écartent de ceux contenus dans l'arrêt attaqué et que la recourante n'invoque (comme elle le fait ci-après: consid. 3.2), ni a fortiori ne démontre, leur établissement arbitraire.</w:t>
      </w:r>
    </w:p>
    <w:p>
      <w:r>
        <w:rPr>
          <w:b/>
        </w:rPr>
        <w:t>E. 3.1</w:t>
      </w:r>
    </w:p>
    <w:p>
      <w:r>
        <w:t>L'autorité cantonale a retenu que, pour rendre vraisemblable le cas de séquestre, la recourante avait produit le jugement de divorce du 29 octobre 2013 et la facture de l'Institut X.________. Elle a jugé que, dans la mesure où les parties avaient convenu expressément la prise en charge de l'écolage de deux de leurs enfants dans une clause de leur convention de divorce et celle des frais extraordinaires nécessaires dans une autre, il était vraisemblable qu'elles considéraient que le premier ne faisait pas partie des seconds, solution qui était au demeurant conforme à l' art. 286 al. 3 CC . Elle a ajouté que la recourante n'avait pas rendu vraisemblable que la scolarisation de l'enfant dans une école privée était nécessaire et que les frais extraordinaires en résultant devaient donc être assumés par moitié par l'intimé. A l'appui de son raisonnement, elle a retenu que l'évaluation pédagogique au sujet de l'enfant n'émanait pas d'un médecin mais de l'école privée, que l'intimé contestait celle-ci, et que, en application de la loi genevoise sur l'instruction publique du 17 septembre 2015 et de la directive du Département de l'Instruction publique relative aux aménagements scolaires pour des élèves souffrant de dyslexie-dysorthographie, dyscalculie, dysgraphie, dyspraxie, des mesures permettant de prendre en charge ce type de difficultés étaient possibles à l'école publique.</w:t>
      </w:r>
    </w:p>
    <w:p>
      <w:r>
        <w:rPr>
          <w:b/>
        </w:rPr>
        <w:t>E. 3.2.1</w:t>
      </w:r>
    </w:p>
    <w:p>
      <w:r>
        <w:t>La recourante se plaint d'arbitraire ( art. 9 Cst. ) dans l'établissement des faits. Elle affirme que l'autorité cantonale a ignoré que l'intimé avait consenti à l'inscription de leur fils en école privée, qu'elle l'avait au préalable informé qu'elle lui demanderait de payer la moitié des frais d'écolage et que, l'enfant ayant largement entamé son année scolaire en école privée, un transfert en école publique n'était pas envisageable.</w:t>
      </w:r>
    </w:p>
    <w:p>
      <w:r>
        <w:rPr>
          <w:b/>
        </w:rPr>
        <w:t>E. 3.2.2</w:t>
      </w:r>
    </w:p>
    <w:p>
      <w:r>
        <w:t>En l'espèce, même si l'intimé a consenti à l'inscription de l'enfant en école privée comme la recourante l'affirme, cet accord n'implique pas forcément celui de financer par moitié les frais d'écolage, de sorte que ce fait ne modifie pas le sort du litige et sa supposée omission ne constitue pas une violation de l'interdiction de l'arbitraire (cf. supra consid. 2.2). Pour ce qui est de l'impossibilité pour l'enfant de rejoindre le système scolaire public, non seulement la recourante n'expose pas l'offre de preuve qu'elle aurait présentée à l'appui de cet allégué mais ce fait, même avéré, n'influencerait pas non plus le sort du litige (cf. infra consid. 3.3.3). Il suit de là que le grief d'arbitraire dans l'établissement des faits doit être rejeté, dans la faible mesure de sa recevabilité.</w:t>
      </w:r>
    </w:p>
    <w:p>
      <w:r>
        <w:rPr>
          <w:b/>
        </w:rPr>
        <w:t>E. 3.3.1</w:t>
      </w:r>
    </w:p>
    <w:p>
      <w:r>
        <w:t>La recourante se plaint d'un déni de justice formel ( art. 29 al. 1 Cst. ). Elle reproche à l'autorité cantonale de n'avoir pas statué sur ses griefs selon lesquels les frais litigieux étaient nécessaires étant donné que l'enfant ne pouvait plus rejoindre le système scolaire public et le refus de l'intimé de payer les frais d'écolage litigieux était abusif puisque celui-ci avait admis la nécessité d'inscrire l'enfant en école privée.</w:t>
      </w:r>
    </w:p>
    <w:p>
      <w:r>
        <w:rPr>
          <w:b/>
        </w:rPr>
        <w:t>E. 3.3.2</w:t>
      </w:r>
    </w:p>
    <w:p>
      <w:r>
        <w:t>L'autorité qui ne traite pas un grief relevant de sa compétence, motivé de façon suffisante et pertinent pour l'issue du litige, commet un déni de justice proscrit par l' art. 29 al. 1 Cst. ( ATF 135 I 6 consid. 2.1; 134 I 229 consid. 2.3; 117 Ia 116 consid. 3a et les références).</w:t>
      </w:r>
    </w:p>
    <w:p>
      <w:r>
        <w:rPr>
          <w:b/>
        </w:rPr>
        <w:t>E. 3.3.3</w:t>
      </w:r>
    </w:p>
    <w:p>
      <w:r>
        <w:t>En l'espèce, l'autorité cantonale a traité du grief soulevé par la recourante en jugeant que celle-ci ne rendait pas vraisemblable la nécessité de scolariser l'enfant dans une école privée étant donné qu'il apparaissait que le système public permettait sa prise en charge adéquate. On comprend parfaitement de cette argumentation que l'autorité cantonale a considéré que la nécessité des frais extraordinaires ne devait pas s'apprécier a posteriori , une fois prise la mesure les générant. Quant à l'argument de la recourante selon lequel l'intimé aurait admis la nécessité d'inscrire l'enfant en école privée, ce fait ne ressort pas de l'arrêt attaqué, l'autorité cantonale ayant, au contraire, retenu que l'intimé contestait le résultat de l'évaluation pédagogique de l'enfant, et, comme retenu précédemment, la recourante ne démontre pas l'arbitraire des faits portant sur l'accord de l'intimé de financer par moitié les frais d'écolage privé. Il suit de là que le grief de la violation de l' art. 29 al. 1 Cst. doit être rejeté.</w:t>
      </w:r>
    </w:p>
    <w:p>
      <w:r>
        <w:rPr>
          <w:b/>
        </w:rPr>
        <w:t>E. 3.4</w:t>
      </w:r>
    </w:p>
    <w:p>
      <w:r>
        <w:t>La recourante se plaint encore d'arbitraire dans la motivation de l'arrêt. Elle se borne toutefois à opposer à celle-ci des considérations purement appellatoires sur la poursuite de la scolarisation de l'enfant en école privée. Son grief est donc irrecevable.</w:t>
      </w:r>
    </w:p>
    <w:p>
      <w:r>
        <w:rPr>
          <w:b/>
        </w:rPr>
        <w:t>E. 4</w:t>
      </w:r>
    </w:p>
    <w:p>
      <w:r>
        <w:t>En conclusion, le recours est rejeté dans la mesure où il est recevable. Les frais judiciaires, arrêtés à 1'500 fr., sont mis à la charge de la recourante qui succombe ( art. 66 al. 1 LTF ). L'intimé, qui n'a pas été invité à répondre,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