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104/2020 vom 1. Juli 2020</w:t>
      </w:r>
    </w:p>
    <w:p>
      <w:r>
        <w:t>Bundesgericht, 2020-07-01, DE</w:t>
      </w:r>
    </w:p>
    <w:p>
      <w:r>
        <w:rPr>
          <w:b/>
        </w:rPr>
        <w:t xml:space="preserve">Quelle: </w:t>
      </w:r>
      <w:r>
        <w:t>https://mcp.opencaselaw.ch/entscheid/bger_5D_104_2020</w:t>
      </w:r>
    </w:p>
    <w:p>
      <w:r>
        <w:t>FR: TF 5D 104/2020 du 1 juillet 2020</w:t>
      </w:r>
    </w:p>
    <w:p>
      <w:r>
        <w:t>IT: TF 5D 104/2020 del 1 luglio 2020</w:t>
      </w:r>
    </w:p>
    <w:p>
      <w:pPr>
        <w:pStyle w:val="Heading2"/>
      </w:pPr>
      <w:r>
        <w:t>Regeste</w:t>
      </w:r>
    </w:p>
    <w:p>
      <w:r>
        <w:t>Definitive Rechtsöffnung | Schuldbetreibungs- und Konkursrecht</w:t>
      </w:r>
    </w:p>
    <w:p>
      <w:pPr>
        <w:pStyle w:val="Heading2"/>
      </w:pPr>
      <w:r>
        <w:t>Erwägungen</w:t>
      </w:r>
    </w:p>
    <w:p>
      <w:r>
        <w:rPr>
          <w:b/>
        </w:rPr>
        <w:t>E. 1</w:t>
      </w:r>
    </w:p>
    <w:p>
      <w:r>
        <w:t>Mit Entscheid vom 20. April 2020 erteilte das Kreisgericht Werdenberg-Sarganserland der Beschwerdegegnerin gegenüber der Beschwerdeführerin in der Betreibung Nr. xxx des Betreibungsamtes U.________ definitive Rechtsöffnung für Fr. 7'477.65 nebst Zins und Kosten. Am 27. April 2020 gelangte die Beschwerdeführerin an das Kantonsgericht St. Gallen. Mit Entscheid vom 26. Mai 2020 wies das Kantonsgericht die Beschwerde ab, soweit es darauf eintrat. Mit Sendung vom 29. Mai 2020 (Postaufgabe) ist die Beschwerdeführerin an das Bundesgericht gelangt. Am 19. Juni 2020 (Postaufgabe) hat sie eine weitere Sendung eingereicht.</w:t>
      </w:r>
    </w:p>
    <w:p>
      <w:r>
        <w:rPr>
          <w:b/>
        </w:rPr>
        <w:t>E. 2</w:t>
      </w:r>
    </w:p>
    <w:p>
      <w:r>
        <w:t>Aufgrund des unter Fr. 30'000.-- liegenden Streitwerts ( Art. 74 Abs. 1 lit. b BGG ) und mangels Vorliegens einer Rechtsfrage von grundsätzlicher Bedeutung ( Art. 74 Abs. 2 lit. a BGG ) ist gegen den angefochtenen Entscheid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hat dem Bundesgericht mit beiden Sendungen einen Stapel von Eingaben eingereicht. Dabei sind nur diejenigen Eingaben als Teile der Beschwerde zu berücksichtigen, die sich eindeutig zumindest auch an das Bundesgericht richten und die sich vom Datum her auf den angefochtenen Entscheid beziehen können. Ältere, in Kopie eingereichte Eingaben, auch wenn die Beschwerdeführerin sie nochmals handschriftlich unterzeichnet hat, enthalten naturgemäss keine Auseinandersetzung mit dem angefochtenen Entscheid und sind nicht zu berücksichtigen. Die Beschwerdeführerin behauptet, sie habe bereits alle AHV-/IV-/EO-Beiträge geleistet, und zwar an die Ausgleichskasse in Zug, und sie sei gegenüber der Beschwerdegegnerin nie Schuldnerin gewesen. Entsprechendes hatte sie bereits im kantonalen Verfahren geltend gemacht. Mit den diesbezüglichen Erwägungen des Kantonsgerichts (insbesondere dem Vorliegen eines definitiven Rechtsöffnungstitels) setzt sie sich jedoch nicht auseinander und sie legt nicht dar, inwiefern verfassungsmässige Rechte verletzt worden sein sollen. 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