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102/2019 vom 7. Mai 2019</w:t>
      </w:r>
    </w:p>
    <w:p>
      <w:r>
        <w:t>Bundesgericht, 2019-05-07, FR</w:t>
      </w:r>
    </w:p>
    <w:p>
      <w:r>
        <w:rPr>
          <w:b/>
        </w:rPr>
        <w:t xml:space="preserve">Quelle: </w:t>
      </w:r>
      <w:r>
        <w:t>https://mcp.opencaselaw.ch/entscheid/bger_5D_102_2019</w:t>
      </w:r>
    </w:p>
    <w:p>
      <w:r>
        <w:t>FR: TF 5D 102/2019 du 7 mai 2019</w:t>
      </w:r>
    </w:p>
    <w:p>
      <w:r>
        <w:t>IT: TF 5D 102/2019 del 7 maggio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novembre 2018, la Juge de paix du district de la Riviera-Pays d'Enhaut a levé définitivement, à hauteur de 1'000 fr. plus intérêts, l'opposition formée par A.________ SA au commandement de payer que lui a fait notifier la Confédération Suisse ( poursuite n° xxxxxxx de l'Office des poursuites de la Riviera-Pays d'Enhaut ). Statuant le 15 mars 2019, la Cour des poursuites et faillites du Tribunal cantonal du canton de Vaud a admis le recours de la poursuivie, annulé le prononcé entrepris et renvoyé la cause au premier juge " pour qu'il fasse notifier l'acte introductif d'instance à [la poursuivie] et lui fixe un délai pour se déterminer ".</w:t>
      </w:r>
    </w:p>
    <w:p>
      <w:r>
        <w:rPr>
          <w:b/>
        </w:rPr>
        <w:t>E. 2</w:t>
      </w:r>
    </w:p>
    <w:p>
      <w:r>
        <w:t>Par écriture expédiée le 27 avril 2019, la poursuivie exerce un recours au Tribunal fédéral contre l'arrêt de la cour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recevable en l'espèce ( art. 113 LTF ).</w:t>
      </w:r>
    </w:p>
    <w:p>
      <w:r>
        <w:rPr>
          <w:b/>
        </w:rPr>
        <w:t>E. 4</w:t>
      </w:r>
    </w:p>
    <w:p>
      <w:r>
        <w:t>Le présent recours s'avère irrecevable à plusieurs titres:</w:t>
      </w:r>
    </w:p>
    <w:p>
      <w:r>
        <w:rPr>
          <w:b/>
        </w:rPr>
        <w:t>E. 4.1</w:t>
      </w:r>
    </w:p>
    <w:p>
      <w:r>
        <w:t>La recourante ne soulève aucun grief de nature constitutionnelle à l'encontre des motifs de la cour cantonale ( art. 116 LTF ; ATF 136 I 332 consid. 2.1 et les citations). En outre - au terme d'une argumentation pour le moins absconse -, elle discute le fond du litige ( i.e. " calcul de l'impôt impayé "), alors que les magistrats précédents se sont limités à annuler le jugement de mainlevée attaqué pour violation du droit d'être entendu commise à son préjudice et à retourner le dossier au premier juge pour qu'il répare ce vice ( ATF 142 I 155 consid. 4.4.2 et les arrêts cités; cf . infra , consid. 4.2).</w:t>
      </w:r>
    </w:p>
    <w:p>
      <w:r>
        <w:rPr>
          <w:b/>
        </w:rPr>
        <w:t>E. 4.2</w:t>
      </w:r>
    </w:p>
    <w:p>
      <w:r>
        <w:t>En l'occurrence, la cour cantonale a annulé le jugement entrepris pour violation du droit d'être entendu ( cf . art. 53 et 253 CPC ) commise au préjudice de la recourante poursuivie, sans se prononcer - fût-ce par surabondance - sur le bien-fondé de la requête de mainlevée. Or, l'intéressée, qui a (formellement) eu gain de cause devant la juridiction cantonale, n'expose pas en quoi la décision attaquée porterait atteinte à ses intérêts juridiquement protégés ( art. 115 let. b LTF ; cf . FRÉSARD, in : Commentaire de la LTF, 2e éd., 2014, n° 7a ad art. 115 LTF ), étant rappelé que le juge de la mainlevée n'est pas habilité à s'interroger sur l'exactitude de la taxation fiscale à la base de la poursuite ( ATF 143 III 564 consid. 4.3.1 et les arrêts cités).</w:t>
      </w:r>
    </w:p>
    <w:p>
      <w:r>
        <w:rPr>
          <w:b/>
        </w:rPr>
        <w:t>E. 4.3</w:t>
      </w:r>
    </w:p>
    <w:p>
      <w:r>
        <w:t>Vu ce qui précède, il est inutile d'examiner si le recours ne serait pas encore irrecevable du chef de l' art. 93 al. 1 let. a LTF ( cf . ATF 145 III 42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- bet 117 LTF),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