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101/2020 vom 28. Mai 2020</w:t>
      </w:r>
    </w:p>
    <w:p>
      <w:r>
        <w:t>Bundesgericht, 2020-05-28, FR</w:t>
      </w:r>
    </w:p>
    <w:p>
      <w:r>
        <w:rPr>
          <w:b/>
        </w:rPr>
        <w:t xml:space="preserve">Quelle: </w:t>
      </w:r>
      <w:r>
        <w:t>https://mcp.opencaselaw.ch/entscheid/bger_5D_101_2020</w:t>
      </w:r>
    </w:p>
    <w:p>
      <w:r>
        <w:t>FR: TF 5D 101/2020 du 28 mai 2020</w:t>
      </w:r>
    </w:p>
    <w:p>
      <w:r>
        <w:t>IT: TF 5D 101/2020 del 28 maggio 2020</w:t>
      </w:r>
    </w:p>
    <w:p>
      <w:pPr>
        <w:pStyle w:val="Heading2"/>
      </w:pPr>
      <w:r>
        <w:t>Regeste</w:t>
      </w:r>
    </w:p>
    <w:p>
      <w:r>
        <w:t>mainlevée provisoire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14 avril 2020, la Cour des poursuites et faillites du Tribunal cantonal du canton de Vaud a rejeté le recours interjeté le 17 février 2020 par A.________ contre le prononcé de mainlevée provisoire à concurrence de 8'467 fr. 35 de l'opposition qu'elle avait formée dans la poursuite n° x'xxx'xxx notifié par l'Office des poursuites du district de Lavaux-Oron (ci-après: office) à l'instance de B.________ AG.</w:t>
      </w:r>
    </w:p>
    <w:p>
      <w:r>
        <w:rPr>
          <w:b/>
        </w:rPr>
        <w:t>E. 2</w:t>
      </w:r>
    </w:p>
    <w:p>
      <w:r>
        <w:t>Par acte du 26 mai 2020, A.________ interjette un recours au Tribunal fédéral contre l'arrêt du 14 avril 2020 concluant à son annulation. Eu égard à la valeur litigieuse manifestement inférieure à 30'000 fr., le présent recours doit être traité comme un recours constitutionnel subsidiaire ( art. 113 ss LTF ). Il est superflu d'examiner les autres conditions de recevabilité, le procédé étant voué à l'échec.</w:t>
      </w:r>
    </w:p>
    <w:p>
      <w:r>
        <w:rPr>
          <w:b/>
        </w:rPr>
        <w:t>E. 3</w:t>
      </w:r>
    </w:p>
    <w:p>
      <w:r>
        <w:t>Dans son écriture, la recourante se contente de réitérer l'argumentation qu'elle avait déjà développée devant l'autorité précédente. Elle soutient ainsi derechef que le commandement de payer notifié dans la poursuite n° x'xxx'xxx serait prescrit en application de l' art. 149a al. 1 LP . Ce faisant, elle ne soulève aucune critique de nature constitutionnelle contre la motivation des juges cantonaux qui ont considéré qu'un acte de défaut de biens dans une première poursuite n° yyy'yyy avait été établi au plus tôt le 22 janvier 1998. Le délai de prescription de vingt ans arrivait donc à échéance au plus tôt le 22 janvier 2018. A la requête de l'intimée, l'office avait établi le 8 décembre 2017 le commandement de payer n° z'zzz'zzz réclamant le paiement de la somme de 8'467 fr. 35 en se fondant sur l'acte de défaut de biens susmentionné. Une première tentative de notification à la recourante de ce commandement de payer du 3 janvier 2018 avait échoué et cette notification était finalement intervenue le 25 janvier 2018. Conformément à la jurisprudence, la date du dépôt à la poste de la réquisition de poursuite était déterminante pour savoir si le délai de prescription avait été valablement interrompu avant son échéance. A défaut de preuve du dépôt à la poste de cette réquisition, il y avait lieu d'admettre que celle-ci avait été déposée au plus tard à la date de l'établissement le 8 décembre 2017 du commandement de payer n° z'zzz'zzz, soit avant le 22 janvier 2018. Il y avait donc lieu de considérer que ce commandement de payer avait fait courir un nouveau délai de prescription de vingt ans, de sorte que celle-ci n'était pas intervenue lorsque l'intimée avait introduit la poursuite n° x'xxx'xxx. La recourante ne soulève pas davantage de critique de nature constitutionnelle contre le constat des juges cantonaux selon lequel le fait que l'opposition qu'elle avait formée au premier commandement de payer n° z'zzz'zzz n'avait pas donné lieu à une procédure de mainlevée, et qu'il était aujourd'hui périmé, n'était pas déterminant, dans la mesure où l' art. 135 ch. 2 CO posait comme condition à l'interruption de la prescription l'introduction d'une poursuite, mais n'exigeait pas que celle-ci soit menée à terme par le créancier. En définitive, force est de constater que le présent recours ne satisfait pas aux exigences accrues de motivation posées par les art. 106 al. 2 et 116 LTF , par renvoi de l' art. 117 LTF 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 art. 108 al. 1 let. b et 117 LTF ), aux frais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