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5D_100/2022 vom 3. August 2022</w:t>
      </w:r>
    </w:p>
    <w:p>
      <w:r>
        <w:t>Bundesgericht, 2022-08-03, DE</w:t>
      </w:r>
    </w:p>
    <w:p>
      <w:r>
        <w:rPr>
          <w:b/>
        </w:rPr>
        <w:t xml:space="preserve">Quelle: </w:t>
      </w:r>
      <w:r>
        <w:t>https://mcp.opencaselaw.ch/entscheid/bger_5D_100_2022</w:t>
      </w:r>
    </w:p>
    <w:p>
      <w:r>
        <w:t>FR: TF 5D_100/2022 du 3 août 2022</w:t>
      </w:r>
    </w:p>
    <w:p>
      <w:r>
        <w:t>IT: TF 5D_100/2022 del 3 agosto 2022</w:t>
      </w:r>
    </w:p>
    <w:p>
      <w:pPr>
        <w:pStyle w:val="Heading2"/>
      </w:pPr>
      <w:r>
        <w:t>Erwägungen</w:t>
      </w:r>
    </w:p>
    <w:p>
      <w:r>
        <w:rPr>
          <w:b/>
        </w:rPr>
        <w:t>E. 1</w:t>
      </w:r>
    </w:p>
    <w:p>
      <w:r>
        <w:t>Mit Entscheid vom 30. Mai 2022 erteilte das Bezirksgericht Willisau den Beschwerdegegnern gegenüber dem Beschwerdeführer in der Betreibung Nr. xxx des Betreibungsamtes Region Sursee definitive Rechtsöffnung für Fr. 9'935.35 nebst Zins sowie für Fr. 116.90.</w:t>
      </w:r>
    </w:p>
    <w:p>
      <w:r>
        <w:t>Dagegen erhob der Beschwerdeführer am 1. Juni 2022 (Postaufgabe) Beschwerde beim Kantonsgericht Luzern. Mit Entscheid vom 11. Juli 2022 trat das Kantonsgericht auf die Beschwerde nicht ein.</w:t>
      </w:r>
    </w:p>
    <w:p>
      <w:r>
        <w:t>Dagegen hat der Beschwerdeführer am 18. Juli 2022 (Postaufgabe) Beschwerde an das Bundesgericht erhoben.</w:t>
      </w:r>
    </w:p>
    <w:p>
      <w:r>
        <w:rPr>
          <w:b/>
        </w:rPr>
        <w:t>E. 2</w:t>
      </w:r>
    </w:p>
    <w:p>
      <w:r>
        <w:t>Die Beschwerde ist an Bundesrichter B.________ gerichtet. Dieser ist Mitglied der strafrechtlichen Abteilung. Zuständig für die vorliegende Rechtsöffnungssache ist jedoch die II. zivilrechtliche Abteilung (Art. 32 Abs. 1 lit. c des Reglements vom 20. November 2006 für das Bundesgericht; BGerR; SR 173.110.131). Daran ändert nicht s, dass der Beschwerdeführer die Bestrafung verschiedener Personen fordert. Dies ist nicht Thema des vorliegenden Verfahrens. Für die Entgegennahme von Strafanzeigen ist das Bundesgericht ausserdem nicht zuständig.</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Begründung muss in der Beschwerde selber enthalten sein und es genügt nicht, auf andere Rechtsschriften oder die Akten zu verweisen ( BGE 143 II 283 E. 1.2.3; 138 III 252 E. 3.2; 133 II 396 E. 3.1). Soweit der Beschwerdeführer für die Begründung auf die von ihm eingereichten Beilagen verweist, die zahlreiche Aktenstücke und frühere Rechtsschriften enthalten, ist darauf nicht einzugehen.</w:t>
      </w:r>
    </w:p>
    <w:p>
      <w:r>
        <w:rPr>
          <w:b/>
        </w:rPr>
        <w:t>E. 4</w:t>
      </w:r>
    </w:p>
    <w:p>
      <w:r>
        <w:t>Der Beschwerdeführer setzt sich mit den Erwägungen des angefochtenen Entscheids nicht auseinander und er legt nicht dar, inwiefern dieser gegen verfassungsmässige Rechte verstossen soll. Stattdessen wiederholt er, er werde keine Auskunft über seine zwei Wohnungen, das Haus, die Landwirtschaft und das Bankkonto in Marokko erteilen und verschiedene Personen hätten versucht, ihn mit Schreiben betreffend Doppelbesteuerung zu betrügen.</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