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5C.95/2000 vom 19. Oktober 2000</w:t>
      </w:r>
    </w:p>
    <w:p>
      <w:r>
        <w:t>Bundesgericht, 2000-10-19, DE</w:t>
      </w:r>
    </w:p>
    <w:p>
      <w:r>
        <w:rPr>
          <w:b/>
        </w:rPr>
        <w:t xml:space="preserve">Quelle: </w:t>
      </w:r>
      <w:r>
        <w:t>https://mcp.opencaselaw.ch/entscheid/bger_5C.95_2000</w:t>
      </w:r>
    </w:p>
    <w:p>
      <w:r>
        <w:t>FR: TF 5C.95/2000 du 19 octobre 2000</w:t>
      </w:r>
    </w:p>
    <w:p>
      <w:r>
        <w:t>IT: TF 5C.95/2000 del 19 ottobre 2000</w:t>
      </w:r>
    </w:p>
    <w:p>
      <w:pPr>
        <w:pStyle w:val="Heading2"/>
      </w:pPr>
      <w:r>
        <w:t>Erwägungen</w:t>
      </w:r>
    </w:p>
    <w:p>
      <w:r>
        <w:rPr>
          <w:b/>
        </w:rPr>
        <w:t>E. 1</w:t>
      </w:r>
    </w:p>
    <w:p>
      <w:r>
        <w:t>Die Vorinstanz verneinte ein Rücktrittsrecht der Beklagten gemäss Art. 6 VVG , da nicht erstellt sei, dass die Klägerin ihre Anzeige- bzw. Nachmeldepflicht verletzt habe.</w:t>
      </w:r>
    </w:p>
    <w:p>
      <w:r>
        <w:t>Sie erwog, gemäss Art. 4.1.1 der Allgemeinen Versicherungsbedingungen für die Zusatzversicherung (im Folgenden: AVB) seien bei Inkrafttreten des Vertrages bereits bestehende Leiden von der Versicherung ausgeschlossen. Unter einem bestehenden Leiden sei eine Krankheit zu verstehen, die bereits ausgebrochen sei und bei der Aufnahme in die Kasse andaure.</w:t>
      </w:r>
    </w:p>
    <w:p>
      <w:r>
        <w:t>Sowohl Dr. Z.________ als auch die Rheumatologin Dr.</w:t>
      </w:r>
    </w:p>
    <w:p>
      <w:r>
        <w:t>G.________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w:t>
      </w:r>
    </w:p>
    <w:p>
      <w:r>
        <w:t>Die Klägerin rügt, die Vorinstanz verkenne Sinn und Zweck der Gefahrsdeklaration gemäss Art. 4 VVG : Aufgrund dieser solle der Versicherer schlüssig werden, ob und zu welchen Bedingungen er den Vertrag abschliessen wolle. Die Verletzung der Anzeigepflicht führe daher zu einer Einschränkung seiner Haftung. Hingegen solle der Versicherer, der den Antrag eines Versicherungsnehmers auf Aufnahme in die Versicherung angenommen habe, sich im Nachhinein nicht darauf berufen können, kraft einer allgemeinen Klausel seiner Versicherungsbedingungen sei der Versicherungsnehmer wegen eines bestimmten Gebrechens von der Versicherung ausgeschlossen.</w:t>
      </w:r>
    </w:p>
    <w:p>
      <w:r>
        <w:t>In Bezug auf die bekanntgegebenen und festgestellten Gesundheitsschäden sei der Versicherungsschutz nur insofern eingeschränkt, als der Versicherer einen entsprechenden Vorbehalt formuliere; unterlasse er dies, sei seine Haftung umfassend.</w:t>
      </w:r>
    </w:p>
    <w:p>
      <w:r>
        <w:t>Aufgrund der pflichtgemässen Deklaration im Antragsformular und der eigens mit Blick auf die Beurteilung der zu versichernden Risiken verlangten ärztlichen Untersuchung sei der Beklagten der Gesundheitszustand der Klägerin bekannt gewesen und sie hätte damit die Möglichkeit gehabt, einen entsprechenden Vorbehalt zu formulieren. Indem sie hierauf verzichtete, habe sie explizit zum Ausdruck gebracht, dass sie die bekannten Leiden nicht auszuschliessen beabsichtigte. Jedenfalls werde dem Erfordernis der genauen Bezeichnung von Gesundheitsvorbehalten gemäss Art. 33 VVG mit der Formulierung von Ziff. 4.1.1 unter diesen Umständen keine Genüge getan.</w:t>
      </w:r>
    </w:p>
    <w:p>
      <w:r>
        <w:t>Dies ergebe sich auch aus dem Grundsatz von Treu und Glauben.</w:t>
      </w:r>
    </w:p>
    <w:p>
      <w:r>
        <w:t>Es gälte auch dann, wenn die Untersuchung vom 25. November 1997 durch Dr. Z.________ als unvollständig zu betrachten wäre, sei doch ein ärztliches Fehlverhalten nach der Praxis dem Versicherer anzurechnen. Dasselbe gelte für eine eigene Unachtsamkeit der Beklagten bei der Prüfung der Angaben der Klägerin im Versicherungsvertrag.</w:t>
      </w:r>
    </w:p>
    <w:p>
      <w:r>
        <w:rPr>
          <w:b/>
        </w:rPr>
        <w:t>E. 2</w:t>
      </w:r>
    </w:p>
    <w:p>
      <w:r>
        <w:t>a) Dass der Klägerin keine Verletzung ihrer Anzeigepflicht vorgeworfen werden kann und die Beklagte mithin zu einem Vertragsrücktritt gemäss Art. 6 VVG nicht berechtigt war, ist nicht mehr umstritten. Zu beurteilen bleibt, ob die Beklagte berechtigt ist, die Ausrichtung von Leistungen für das erneut ausgebrochene Arthritisleiden der Klägerin zu verweigern.</w:t>
      </w:r>
    </w:p>
    <w:p>
      <w:r>
        <w:t>Dass die Untersuchung durch Dr. Z.________ vom 25. November 1997 mangelhaft gewesen sei, wird von der Beklagten nicht behauptet und ergibt sich auch nicht aus den vorinstanzlichen Sachverhaltsfeststellungen, so dass auf die Frage, wem dies anzulasten wäre, nicht einzugehen ist.</w:t>
      </w:r>
    </w:p>
    <w:p>
      <w:r>
        <w:t>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w:t>
      </w:r>
    </w:p>
    <w:p>
      <w:r>
        <w:t>aa) Gemäss Art. 9 VVG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w:t>
      </w:r>
    </w:p>
    <w:p>
      <w:r>
        <w:t>Ob die Vertragsparteien vom Eintritt des Ereignisses bei Vertragsschluss Kenntnis hatten, ist unerheblich (Roelli/Keller/Tännler, Kommentar zum Schweizerischen Bundesgesetz über den Versicherungsvertrag, Band I, Bern 1968, S. 172 ff.).</w:t>
      </w:r>
    </w:p>
    <w:p>
      <w:r>
        <w:t>In der Krankenversicherung besteht die Gefahr, gegen deren Folgen versichert wird, in der Erkrankung der versicherten Person (Roelli/Keller/Tännler, a.a.O., S. 234). Die Beklagte versichert als Krankheit "jede Beeinträchtigung der körperlichen oder geistigen Gesundheit, die nicht Folge eines Unfalles ist und die eine medizinische Untersuchung oder Behandlung erfordert oder eine Arbeitsunfähigkeit zur Folge hat" (Ziff. 2.4 AVB); die Umschreibung entspricht der Krankheitsdefinition nach Art. 2 Abs. 1 KVG . Ist eine Krankheit im Sinne dieser Definition bei Vertragsschluss bereits ausgebrochen, so ist die Versicherung gegen ihre Folgen nach Art. 9 VVG ausgeschlossen, unbekümmert darum, ob sie noch andauert (vgl. BGE 118 V 158 E. 5c S. 169).</w:t>
      </w:r>
    </w:p>
    <w:p>
      <w:r>
        <w:t>Nicht erfasst werden von Art. 9 VVG Fälle, da die Gefahr nur teilweise eingetreten ist; die Versicherung eines nach Vertragsschluss eingetretenen Teilereignisses ist zulässig (Roelli/Keller/Tännler, a.a.O., S. 175 und Fn. 1).</w:t>
      </w:r>
    </w:p>
    <w:p>
      <w:r>
        <w:t>Als nur teilweise eingetreten gilt die Gefahr bei einzelnen Krankheitsfällen (a.a.O., S. 610); insoweit schliessen Erkrankungen vor Abschluss des Versicherungsvertrages die Deckung künftiger Erkrankungen nicht ohne weiteres aus, handle es sich um gleichartige Erkrankungen oder um andersartige.</w:t>
      </w:r>
    </w:p>
    <w:p>
      <w:r>
        <w:t>Fraglich ist nun, wie ein Gesundheitszustand zu bewerten ist, wenn die Krankheit früher bereits einmal ausgebrochen ist und, obwohl seither eine längere Phase der Symptomfreiheit zu verzeichnen war, aus medizinischer Sicht die Gefahr von Rückfällen besteht.</w:t>
      </w:r>
    </w:p>
    <w:p>
      <w:r>
        <w:t>bb) Nach den im angefochtenen Urteil zitierten Äusserungen von Dr. B.________ soll sich aus seinen Aufzeichnungen ergeben, dass die Röntgenbilder der Hände und Füsse der Klägerin nebst geringen Abnutzungen Hinweise auf eine Polyarthritis zeigten. Dr. G.________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Z.________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w:t>
      </w:r>
    </w:p>
    <w:p>
      <w:r>
        <w:t>Der rechtliche Krankheitsbegriff deckt sich nicht notwendig mit dem medizinischen ( BGE 124 V 118 E. 3b S. 121).</w:t>
      </w:r>
    </w:p>
    <w:p>
      <w:r>
        <w:t>Das heisst aber nicht, dass er beliebig definierbar ist und auf medizinische Grundgegebenheiten keine Rücksicht zu nehmen hat. Dies wäre aber der Fall, wenn nur darauf abgestellt würde, ob jemand an gesundheitlichen Symptomen leidet und unberücksichtigt bliebe, dass sich die Gesundheit trotz Verschwindens der Symptome in einem prekären Zustand befindet, wenn sich der Wiedereintritt der Störung mit Wahrscheinlichkeit voraussehen lässt, die Krankheit also trotz vorübergehender Symptomfreiheit als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Die Auffassung, wonach nicht das Auftreten von Symptomen, sondern deren medizinische Ursache für die Definition des Krankheitsbegriffs im Vordergrund steht, ist mit der Praxis des Eidgenössischen Versicherungsgerichts ( BGE 124 V 118 E. 6b S. 124 f.), aber auch mit der Regelung des Vorbehaltsrechts in der obligatorischen Krankenversicherung im Einklang. Art. 69 Abs. 1 KVG (SR 832. 10) behandelt den Rückfall bezüglich des Ausschlusses aus der freiwilligen Taggeldversicherung ausdrücklich gleich wie eine bestehende Krankheit; schon Art. 5 Abs. 3 KUVG kannte eine entsprechende Regelung, die im Übrigen nach der Botschaft des Bundesrates (BBl 1961 I 1440) in Anlehnung an Art. 9 VVG getroffen wurde, dem man auch damals das Verbot der Versicherung von Rückfällen entnahm.</w:t>
      </w:r>
    </w:p>
    <w:p>
      <w:r>
        <w:t>Obwohl der Krankheitsschub der Klägerin im Jahre 1998 nach einer relativ langen symptomfreien Phase auftrat, liegt aufgrund der verbindlichen Sachverhaltsdarstellung der behandelnden Ärzte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 Art. 97 Abs. 1 VVG ), ist irrelevant, ob die zwischen den Parteien getroffene Individualabrede nach Treu und Glauben als Derogation des Leistungsausschlusses gemäss Art. 4.1.1 AVB zu verstehen wäre.</w:t>
      </w:r>
    </w:p>
    <w:p>
      <w:r>
        <w:rPr>
          <w:b/>
        </w:rPr>
        <w:t>E. 3</w:t>
      </w:r>
    </w:p>
    <w:p>
      <w:r>
        <w:t>Nach dem Gesagten ist die Berufung abzuweisen. Entsprechend dem Ausgang des Verfahrens hat die Klägerin die Gerichtskosten zu tragen ( Art. 156 Abs. 1 OG ). Da die Beklagte sich nicht anwaltlich vertreten liess, ist auf die Zusprache einer Prozessentschädigung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