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5C.91/2003 vom 27. Mai 2003</w:t>
      </w:r>
    </w:p>
    <w:p>
      <w:r>
        <w:t>Bundesgericht, 2003-05-27, DE</w:t>
      </w:r>
    </w:p>
    <w:p>
      <w:r>
        <w:rPr>
          <w:b/>
        </w:rPr>
        <w:t xml:space="preserve">Quelle: </w:t>
      </w:r>
      <w:r>
        <w:t>https://mcp.opencaselaw.ch/entscheid/bger_5C.91_2003</w:t>
      </w:r>
    </w:p>
    <w:p>
      <w:r>
        <w:t>FR: TF 5C.91/2003 du 27 mai 2003</w:t>
      </w:r>
    </w:p>
    <w:p>
      <w:r>
        <w:t>IT: TF 5C.91/2003 del 27 maggio 2003</w:t>
      </w:r>
    </w:p>
    <w:p>
      <w:pPr>
        <w:pStyle w:val="Heading2"/>
      </w:pPr>
      <w:r>
        <w:t>Regeste</w:t>
      </w:r>
    </w:p>
    <w:p>
      <w:r>
        <w:t>Familienrecht</w:t>
      </w:r>
    </w:p>
    <w:p>
      <w:pPr>
        <w:pStyle w:val="Heading2"/>
      </w:pPr>
      <w:r>
        <w:t>Erwägungen</w:t>
      </w:r>
    </w:p>
    <w:p>
      <w:r>
        <w:rPr>
          <w:b/>
        </w:rPr>
        <w:t>E. 1</w:t>
      </w:r>
    </w:p>
    <w:p>
      <w:r>
        <w:t>Mit dem angefochtenen letztinstanzlichen kantonalen Urteil ist die der Beklagten bei der Scheidung gerichtlich zugesprochene Bedürftigkeitsrente nach Art. 152 aZGB herabgesetzt worden. Es liegt demnach eine vermögensrechtliche Streitigkeit zivilrechtlicher Natur vor, gegen welche die Berufung an das Bundesgericht zulässig ist ( Art. 46 und 48 Abs. 1 OG ); die Streitwertgrenze ist erreicht. Die Beklagte ist persönlich beschwert. Da die 30-tägige Frist gemäss Art. 54 Abs. 1 OG gewahrt ist, kann die Berufung formell an die Hand genommen werden.</w:t>
      </w:r>
    </w:p>
    <w:p>
      <w:r>
        <w:rPr>
          <w:b/>
        </w:rPr>
        <w:t>E. 2.1</w:t>
      </w:r>
    </w:p>
    <w:p>
      <w:r>
        <w:t>Das Scheidungsurteil ist am 30. April 1987 und damit vor Inkrafttreten der ZGB-Revision von 1998/2000 ergangen. Die Abänderung des Ehegattenunterhalts beurteilt sich deshalb nach den Bestimmungen des früheren Rechts unter Vorbehalt der Bestimmungen über das Verfahren ( Art. 7a Abs. 3 SchlT ZGB ).</w:t>
      </w:r>
    </w:p>
    <w:p>
      <w:r>
        <w:rPr>
          <w:b/>
        </w:rPr>
        <w:t>E. 2.2</w:t>
      </w:r>
    </w:p>
    <w:p>
      <w:r>
        <w:t>Für Fälle, in denen zufolge Scheidung die Geldmittel für den Unterhalt der (ehemaligen) Ehegatten knapp bemessen sind, hat das Bundesgericht für die Rentenbemessung klare Regeln entwickelt. In Zusammenhang mit der hier interessierenden Frage der Leistungskraft des Pflichtigen hat es deren Unantastbarkeit festgehalten. So heisst es im wegweisenden BGE 123 III 1 (E. 3b/bb S. 4), dass in das erweiterte Existenzminimum des Rentenschuldners - das aus dem betreibungsrechtlichen Zwangsbedarf (um die laufende Steuerlast erweitert) und einem Zuschlag von in der Regel 20% besteht ( BGE 121 III 49 E. 1c S. 51) - nach Art. 152 aZGB nicht eingegriffen werden dürfe. Die Garantie des erweiterten Notbedarfs für den Schuldner soll verhindern, dass beide Parteien Sozialfürsorge beziehen müssen ( BGE 128 III 257 E. 4a/aa S. 258).</w:t>
      </w:r>
    </w:p>
    <w:p>
      <w:r>
        <w:rPr>
          <w:b/>
        </w:rPr>
        <w:t>E. 2.3</w:t>
      </w:r>
    </w:p>
    <w:p>
      <w:r>
        <w:t>Aus dem Dargelegten erhellt, dass das Kriterium der Leistungsfähigkeit des Rentenschuldners grundsätzlich vor allen anderen Kriterien für die Rentenbemessung Vorrang hat. Alle weiteren Schritte für die Rentenberechnung hängen von der Leistungsfähigkeit des Schuldners, mithin von der Wahrung seines erweiterten Notbedarfs ab. Es kann durchaus vorkommen, und es steht mit dem Bundesrecht im Einklang, dass bei knappen Verhältnissen der Rentengläubiger mit der zugesprochenen Rente seinen erweiterten Notbedarf gar nicht zu decken vermag.</w:t>
      </w:r>
    </w:p>
    <w:p>
      <w:r>
        <w:rPr>
          <w:b/>
        </w:rPr>
        <w:t>E. 2.4</w:t>
      </w:r>
    </w:p>
    <w:p>
      <w:r>
        <w:t>Die von der Beklagten gegen das obergerichtliche Urteil vorgetragenen Einwendungen erweisen sich im Lichte obiger Erwägungen als haltlos. Zunächst steht aufgrund der ausdrücklich anerkannten und für das Bundesgericht ohnehin verbindlichen Sachverhaltsfeststellungen der Vorinstanz ( Art. 63 Abs. 2 OG ) fest, dass die zugesprochene Rente den betreibungsrechtlichen Notbedarf der Beklagten deckt. Sodann kann die Beklagte - wie erwähnt (vgl. E. 2.2) - die Deckung ihres erweiterten Notbedarfes nicht beanspruchen. Da auch die übrigen Parameter für die Rentenberechnung (Einkünfte beider Parteien) rechnerisch unbestritten sind, ist das angefochtene Urteil nicht zu beanstanden, es sei denn, es müsse mit der Beklagten angenommen werden, bei der Berechnung des schuldnerischen Notbedarfes sei unter den gegebenen Umständen zwingend von einem Zuschlag abzusehen.</w:t>
      </w:r>
    </w:p>
    <w:p>
      <w:r>
        <w:rPr>
          <w:b/>
        </w:rPr>
        <w:t>E. 3.1</w:t>
      </w:r>
    </w:p>
    <w:p>
      <w:r>
        <w:t>In BGE 123 III 1 wird in der Tat die Unantastbarkeit des erweiterten Notbedarfes des Rentenschuldners für den Fall relativiert, dass bei Beachtung dieses Kriteriums das Existenzminimum des Rentengläubigers nicht gedeckt wird: In einem solchen Falle könne der Richter von einem Prozentzuschlag zum erweiterten Notbedarf des Schuldners absehen (E. 3b/bb S. 4 f. mit Hinweisen). In diesem Zusammenhang verweist das Bundesgericht insbesondere auf ein unveröffentlichtes Urteil vom 2. Mai 1991 in Sachen W. (E. 5b). Der fragliche Satz im BGE 123 III 1 - und insbesondere der dortige Hinweis auf das frühere Urteil aus dem Jahre 1991 - erweisen sich aber insofern als missverständlich, als das Bundesgericht nie befunden hat, dass der Richter von einem Prozentzuschlag absehen dürfe oder gar müsse. Im besagten unveröffentlichten Urteil wird lediglich gesagt, dass einem Schuldner einer Bedürftigkeitsrente zwar zugemutet werden könne, "nötigenfalls eine Einschränkung seiner Lebenshaltung auf sich zu nehmen. Das dürfe aber nicht so weit gehen, dass er während der Dauer der Rentenverpflichtung grundsätzlich auf das betreibungsrechtliche Existenzminimum gesetzt werde" (Urteil 5C.260/1990 vom 2. Mai 1991, E. 5b). Mit anderen Worten hat das Bundesgericht zwar die Zumutbarkeit einer Einschränkung der Lebenshaltung des Rentenschuldners erwogen, gleichzeitig allerdings mit Nachdruck betont, dass es sich dabei nicht um eine Lösung handeln dürfe, die für die gesamte Dauer der Rentenverpflichtung gelten soll.</w:t>
      </w:r>
    </w:p>
    <w:p>
      <w:r>
        <w:rPr>
          <w:b/>
        </w:rPr>
        <w:t>E. 3.2</w:t>
      </w:r>
    </w:p>
    <w:p>
      <w:r>
        <w:t>Welche Tragweite dem fraglichen Satz in BGE 123 III 1 schliesslich beizumessen sei, kann vorliegend allerdings offen bleiben. Denn was die Beklagte apodiktisch verlangt, ist die endgültige Herabsetzung des Lebensstandards des Rentenschuldners auf sein betreibungsrechtliches Existenzminimum: Dies ist aber - selbst laut dem unveröffentlichten Urteil aus dem Jahre 1991 - nicht zulässig. Abgesehen davon, dass die Forderung der Beklagten schon deshalb nicht zu schützen ist, weil ihr betreibungsrechtliches Existenzminimum selbst mit der vom Obergericht zugesprochenen Rente gedeckt ist, macht sie im Übrigen nicht geltend - und ist auch aus den Akten nicht ersicht- lich -, weshalb in ihrem Fall eine Ausnahme gemacht werden müsste.</w:t>
      </w:r>
    </w:p>
    <w:p>
      <w:r>
        <w:rPr>
          <w:b/>
        </w:rPr>
        <w:t>E. 3.3</w:t>
      </w:r>
    </w:p>
    <w:p>
      <w:r>
        <w:t>Im Ergebnis ist festzuhalten, dass der Vorinstanz keine Kritik daraus erwachsen kann, dass sie sich an die von Lehre und Rechtsprechung ausgearbeiteten klaren Regeln gehalten und keine Ausnahme getroffen hat.</w:t>
      </w:r>
    </w:p>
    <w:p>
      <w:r>
        <w:rPr>
          <w:b/>
        </w:rPr>
        <w:t>E. 4.1</w:t>
      </w:r>
    </w:p>
    <w:p>
      <w:r>
        <w:t>Die Berufung erweist sich als unbegründet und muss abgewiesen werden. Angesichts der Begründung, die zu diesem Ergebnis geführt hat, erübrigt sich eine gesonderte Abhandlung von Haupt- und Eventualantrag.</w:t>
      </w:r>
    </w:p>
    <w:p>
      <w:r>
        <w:rPr>
          <w:b/>
        </w:rPr>
        <w:t>E. 4.2</w:t>
      </w:r>
    </w:p>
    <w:p>
      <w:r>
        <w:t>Dem Ausgang des Verfahrens entsprechend wird die Beklagte kostenpflichtig ( Art. 156 Abs. 1 OG ). Lehre und Rechtsprechung sind zum hier diskutierten Thema relativ klar, so dass die Berufung von Anfang an als aussichtslos erscheinen musste. Damit ist eine der beiden Voraussetzungen zur Gewährung der unentgeltlichen Rechtspflege ( Art. 152 Abs. 1 OG ; BGE 125 II 265 E. 4b S. 275 mit Hinweisen) nicht erfüllt, weshalb das entsprechende Gesuch der Beklagten abzuweisen ist. Dem Kläger sind im bundesgerichtlichen Verfahren keine Kosten erwachsen, da er zur Einreichung einer Berufungsantwort nicht aufgefordert wurde, so dass ihm keine Parteientschädigung zuzusprechen ist (vgl.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