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5C.86/2005 vom 20. Mai 2005</w:t>
      </w:r>
    </w:p>
    <w:p>
      <w:r>
        <w:t>Bundesgericht, 2005-05-20, IT</w:t>
      </w:r>
    </w:p>
    <w:p>
      <w:r>
        <w:rPr>
          <w:b/>
        </w:rPr>
        <w:t xml:space="preserve">Quelle: </w:t>
      </w:r>
      <w:r>
        <w:t>https://mcp.opencaselaw.ch/entscheid/bger_5C.86_2005</w:t>
      </w:r>
    </w:p>
    <w:p>
      <w:r>
        <w:t>FR: TF 5C.86/2005 du 20 mai 2005</w:t>
      </w:r>
    </w:p>
    <w:p>
      <w:r>
        <w:t>IT: TF 5C.86/2005 del 20 maggio 2005</w:t>
      </w:r>
    </w:p>
    <w:p>
      <w:pPr>
        <w:pStyle w:val="Heading2"/>
      </w:pPr>
      <w:r>
        <w:t>Erwägungen</w:t>
      </w:r>
    </w:p>
    <w:p>
      <w:r>
        <w:rPr>
          <w:b/>
        </w:rPr>
        <w:t>E. 1</w:t>
      </w:r>
    </w:p>
    <w:p>
      <w:r>
        <w:t>Le liti che concernono il diritto di risposta sono considerate contestazioni civili di natura non pecuniaria ai sensi dell' art. 44 OG , motivo per cui la via del ricorso per riforma è data ( DTF 112 II 193 consid. 1b).</w:t>
      </w:r>
    </w:p>
    <w:p>
      <w:r>
        <w:rPr>
          <w:b/>
        </w:rPr>
        <w:t>E. 2</w:t>
      </w:r>
    </w:p>
    <w:p>
      <w:r>
        <w:t>Giusta l' art. 28g cpv. 1 CC chi è direttamente toccato nella sua personalità dall'esposizione di fatti ad opera di mezzi di comunicazione sociale di carattere periodico, quali la stampa, la radio e la televisione, ha il diritto di rispondere con una propria esposizione dei fatti. L' art. 28h cpv. 1 CC precisa che il testo della risposta deve limitarsi concisamente all'oggetto dell'esposizione contestata e riferirsi quindi ai fatti menzionati nel testo incriminato ( DTF 114 II 293 consid. 4c), contrapponendo fatti a fatti ( DTF 130 III 1 consid. 2.2).</w:t>
      </w:r>
    </w:p>
    <w:p>
      <w:r>
        <w:rPr>
          <w:b/>
        </w:rPr>
        <w:t>E. 3.1</w:t>
      </w:r>
    </w:p>
    <w:p>
      <w:r>
        <w:t>A mente della sentenza impugnata non può essere considerata falsa l'indicazione secondo cui "Spendere Meglio" non informava sulla consulenza telefonica fornita dall'Associazione Inquilini. Nell'edizione dell'agosto 2004 il giornale edito dall'attrice riportava nella rubrica "Indirizzi utili" il recapito telefonico di tale associazione, ma l'iscrizione, a differenza di quanto scritto con riferimento ad altre iscrizioni, non menzionava la possibilità di avere una consulenza. In queste circostanze, sempre secondo i giudici cantonali, un lettore medio non poteva desumere da tale iscrizione l'esistenza di un servizio di consulenza. Inoltre, l'attrice non asserisce che sarebbe pure toccata nel senso dell' art. 28g cpv. 1 CC da un'affermazione veritiera contenuta nel giornale della convenuta.</w:t>
      </w:r>
    </w:p>
    <w:p>
      <w:r>
        <w:rPr>
          <w:b/>
        </w:rPr>
        <w:t>E. 3.2</w:t>
      </w:r>
    </w:p>
    <w:p>
      <w:r>
        <w:t>L'attrice contesta che la risposta possa essere considerata manifestamente inesatta e quindi rifiutata per il fatto che "Spendere Meglio", accanto al numero di telefono dell'Associazione Inquilini, non menzioni pure la parola "consulenza". Essa si dilunga poi sul fatto che la convenuta le aveva chiesto di accorciare il testo della risposta.</w:t>
      </w:r>
    </w:p>
    <w:p>
      <w:r>
        <w:rPr>
          <w:b/>
        </w:rPr>
        <w:t>E. 3.3</w:t>
      </w:r>
    </w:p>
    <w:p>
      <w:r>
        <w:t>In concreto l'attrice misconosce che, come indicato nella sentenza impugnata, il lettore medio non poteva dedurre dalla semplice menzione del numero di telefono (accompagnata dall'"indicazione dell'orario di apertura") che l'Associazione Inquilini offrisse a chiunque pure una consulenza telefonica. Non è quindi per niente - come invece scritto nel testo della risposta - "falso" affermare che "Spendere Meglio" non informava il pubblico della consulenza fornita dall'Associazione Inquilini. Poco importa quindi che la convenuta abbia chiesto all'attrice di accorciare la risposta. Decisivo appare invece che la risposta si rivela su questo punto manifestamente inesatta e poteva per questo motivo essere rifiutata ( art. 28h cpv. 2 CC ).</w:t>
      </w:r>
    </w:p>
    <w:p>
      <w:r>
        <w:rPr>
          <w:b/>
        </w:rPr>
        <w:t>E. 4.1</w:t>
      </w:r>
    </w:p>
    <w:p>
      <w:r>
        <w:t>La Corte cantonale indica che l'argomentazione di cui l'attrice si prevale nella risposta per affermare che sarebbe falso scrivere che l'Associazione Inquilini offra le stesse informazioni "ad un prezzo normale", non riguarda le informazioni in sé, ma le condizioni a cui queste vengono fornite (obbligo di declinare il proprio indirizzo e necessità di essere membro dell'associazione se non si vuole beneficiare di un'unica breve consulenza). Inoltre, sempre secondo i giudici cantonali, anche qualora si volesse riconoscere che le predette esigenze attribuite alla citata associazione servano a giustificare il maggior costo delle chiamate sul numero di "Spendere Meglio", l'attrice non poteva rimanere vaga e non indicare né la durata della breve consulenza né l'ammontare della quota sociale.</w:t>
      </w:r>
    </w:p>
    <w:p>
      <w:r>
        <w:rPr>
          <w:b/>
        </w:rPr>
        <w:t>E. 4.2</w:t>
      </w:r>
    </w:p>
    <w:p>
      <w:r>
        <w:t>L'attrice sostiene che la Corte cantonale non poteva rifiutare la risposta per il motivo che essa sarebbe troppo vaga, atteso che la convenuta non le ha mai chiesto di specificare i dettagli inerenti alla quota sociale dell'Associazione Inquilini o di precisare quanto breve fosse la consulenza fornita da quest'ultima.</w:t>
      </w:r>
    </w:p>
    <w:p>
      <w:r>
        <w:rPr>
          <w:b/>
        </w:rPr>
        <w:t>E. 4.3</w:t>
      </w:r>
    </w:p>
    <w:p>
      <w:r>
        <w:t>Con la propria critica ricorsuale l'attrice ignora completamente la prima motivazione della Corte cantonale, secondo cui quanto scritto nel testo della risposta non atteneva all'identicità delle informazioni, ma unicamente alle condizioni a cui esse venivano fornite. Da questa motivazione principale emerge che i giudici cantonali hanno reputato che con la risposta non venivano smentiti fatti indicati nell'articolo contestato ma che, contravvenendo al principio fatti contro fatti, venivano inammissibilmente precisate ulteriori circostanze. Ora, in base alla giurisprudenza sviluppata in applicazione dell'art. 55 cpv. 1 lett. c OG, quando la sentenza impugnata contiene due motivazioni indipendenti, il Tribunale federale entra nel merito del ricorso solo se entrambe vengono censurate, e cioè se il ricorrente indica in che consiste la violazione del diritto federale con riferimento ad ambedue le argomentazioni dell'autorità cantonale ( DTF 121 III 46 consid. 2; 115 II 200 consid. 2a). Atteso che in concreto l'attrice si limita a criticare la motivazione sussidiaria secondo cui il testo della risposta sarebbe troppo vago e rimane del tutto silente sulla predetta motivazione principale, il ricorso per riforma non può essere esaminato con riferimento alla censura formulata e si rivela inammissibile. A titolo del tutto abbondanziale si può rilevare che non soccorre all'attrice nemmeno il fatto che la convenuta fosse stata disposta, nella controproposta 29 settembre 2004 al testo della risposta sottopostole, a pubblicare tali indicazioni aggiuntive: l'attrice, introducendo la presente causa, non ha manifestamente accettato tale controproposta, la quale è pertanto decaduta.</w:t>
      </w:r>
    </w:p>
    <w:p>
      <w:r>
        <w:rPr>
          <w:b/>
        </w:rPr>
        <w:t>E. 5</w:t>
      </w:r>
    </w:p>
    <w:p>
      <w:r>
        <w:t>Essendo il ricorso volto all'insuccesso già per i suindicati motivi, non occorre esaminare le censure dirette contro la motivazione della sentenza impugnata con cui i giudici cantonali hanno messo in dubbio che l'attrice fosse "toccata" nella sua personalità dall'esposizione dei fatti riportata nel contestato articolo.</w:t>
      </w:r>
    </w:p>
    <w:p>
      <w:r>
        <w:rPr>
          <w:b/>
        </w:rPr>
        <w:t>E. 6</w:t>
      </w:r>
    </w:p>
    <w:p>
      <w:r>
        <w:t>Da quanto precede discende che il ricorso dev'essere respinto in quanto ammissibile. La tassa di giustizia segue la soccombenza ( art. 156 cpv. 1 OG ), mentre non si giustifica assegnare ripetibili alla convenuta, che non è stata invitata a presentare una risposta al gravame e non è quindi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