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5C.81/2003 vom 21. Januar 2004</w:t>
      </w:r>
    </w:p>
    <w:p>
      <w:r>
        <w:t>Bundesgericht, 2004-01-21, FR</w:t>
      </w:r>
    </w:p>
    <w:p>
      <w:r>
        <w:rPr>
          <w:b/>
        </w:rPr>
        <w:t xml:space="preserve">Quelle: </w:t>
      </w:r>
      <w:r>
        <w:t>https://mcp.opencaselaw.ch/entscheid/bger_5C.81_2003</w:t>
      </w:r>
    </w:p>
    <w:p>
      <w:r>
        <w:t>FR: TF 5C.81/2003 du 21 janvier 2004</w:t>
      </w:r>
    </w:p>
    <w:p>
      <w:r>
        <w:t>IT: TF 5C.81/2003 del 21 gennaio 2004</w:t>
      </w:r>
    </w:p>
    <w:p>
      <w:pPr>
        <w:pStyle w:val="Heading2"/>
      </w:pPr>
      <w:r>
        <w:t>Regeste</w:t>
      </w:r>
    </w:p>
    <w:p>
      <w:r>
        <w:t>Droit des successions</w:t>
      </w:r>
    </w:p>
    <w:p>
      <w:pPr>
        <w:pStyle w:val="Heading2"/>
      </w:pPr>
      <w:r>
        <w:t>Erwägungen</w:t>
      </w:r>
    </w:p>
    <w:p>
      <w:r>
        <w:rPr>
          <w:b/>
        </w:rPr>
        <w:t>E. 1</w:t>
      </w:r>
    </w:p>
    <w:p>
      <w:r>
        <w:t>Les droits contestés dans la dernière instance cantonale atteignent d'après les conclusions du demandeur une valeur d'au moins 8'000 fr.; le recours est donc recevable sous l'angle de l' art. 46 OJ , s'agissant d'une contestation civile portant sur des droits de nature pécuniaire (cf. ATF 115 II 211 ; 124 III 406 ). Déposé en temps utile contre une décision finale prise par le tribunal suprême du canton de Vaud et qui ne peut pas être l'objet d'un recours ordinaire de droit cantonal, il est également recevable du chef des art. 54 al. 1 et 48 al. 1 OJ.</w:t>
      </w:r>
    </w:p>
    <w:p>
      <w:r>
        <w:rPr>
          <w:b/>
        </w:rPr>
        <w:t>E. 2.1</w:t>
      </w:r>
    </w:p>
    <w:p>
      <w:r>
        <w:t>Le demandeur reproche d'abord à la cour cantonale d'avoir fait une fausse application de l' art. 519 al. 1 ch. 3 CC en considérant que les dispositions à cause de mort prises par le défunt en faveur de dame Y.________ ne peuvent être qualifiées de contraires aux moeurs. De l'avis du demandeur, l' art. 519 CC n'impose pas la focalisation de l'immoralité sur l'encouragement à entretenir des relations sexuelles. La jurisprudence à laquelle s'est référée la cour cantonale - selon laquelle la libéralité faite par un homme marié à sa concubine n'est contraire aux moeurs que si elle est destinée à favoriser une conduite adultère, autrement dit lorsqu'elle constitue à proprement parler un pretium stupri ( ATF 109 II 15 ) - serait ainsi par trop restrictive : une libéralité serait tout aussi contraire aux moeurs si elle est destinée à récompenser une conduite immorale que si elle est destinée à promouvoir une telle conduite. Dès lors, il importerait peu que la bénéficiaire d'une disposition pour cause de mort ait été ou non au courant de celle-ci du vivant du testateur. En l'occurrence, les faits de la cause - après "rectification" de la constatation selon laquelle dame Y.________ ne s'intéressait pas aux questions d'argent (cf. lettre E supra), constatation qui serait selon le demandeur en contradiction avec les faits exposés sous lettres C et D supra - démontreraient suffisamment, selon le demandeur, l'immoralité des dispositions pour cause de mort par lesquelles X.________ a avantagé sa maîtresse. En effet, X.________, par des manoeuvres subtiles et diaboliques, aurait d'abord réussi à faire expulser son épouse du domicile conjugal pour y retourner avec sa maîtresse. Puis, alors que l'environnement social était acquis au fait qu'une épouse innocente pouvait s'opposer victorieusement au divorce et empêcher de ce fait un remariage, X.________ serait passé outre cette impossibilité juridique. Présentant dame Y.________ comme son épouse pendant de nombreuses années, il aurait procédé à une répudiation digne de la charia. L'aboutissement de cette situation aurait été consacré dans les dispositions testamentaires attaquées, par lesquelles la maîtresse était instaurée comme héritière tandis que l'épouse répudiée était exhérédée.</w:t>
      </w:r>
    </w:p>
    <w:p>
      <w:r>
        <w:rPr>
          <w:b/>
        </w:rPr>
        <w:t>E. 2.2</w:t>
      </w:r>
    </w:p>
    <w:p>
      <w:r>
        <w:t>Comme l'a correctement exposé la cour cantonale, le point de savoir si une disposition à cause de mort est contraire aux moeurs s'apprécie au moment de l'ouverture de la succession, et non au moment où la disposition a été prise (Escher, Zürcher Kommentar, Band III/1, 1959, n. 32 ad art. 482 CC ). En 1983 - soit deux ans avant l'ouverture de la succession de X.________ -, le Tribunal fédéral considérait déjà que la libéralité faite par un homme marié à sa concubine n'est contraire aux moeurs que si elle est destinée à favoriser une conduite adultère, autrement dit lorsqu'elle constitue à proprement parler un pretium stupri ( ATF 109 II 15 consid. 1b). Il précisait en outre que la notion de pretium stupri doit être définie avec une certaine retenue, et que n'est ainsi pas un pretium stupri la disposition testamentaire prise par un homme en faveur de sa concubine, lorsque celle-ci n'a pas abandonné son amant tombé malade mais lui a prêté assistance jusqu'au décès, de telle manière que les relations sexuelles sont passées à l'arrière-plan par rapport aux soins prodigués par la bénéficiaire ( ATF 109 II 15 consid. 1c; 85 II 378 ). Concrètement, le Tribunal fédéral avait alors jugé conforme au droit fédéral de ne pas qualifier d'immorales les dispositions testamentaires prises par un homme marié en faveur d'une ancienne prostituée, avec laquelle il avait vécu en concubinage pendant près de cinq ans jusqu'à sa mort, et avec laquelle il entretenait de vrais rapports humains allant au-delà d'une relation purement sexuelle ( ATF 109 II 15 consid. 1c).</w:t>
      </w:r>
    </w:p>
    <w:p>
      <w:r>
        <w:rPr>
          <w:b/>
        </w:rPr>
        <w:t>E. 2.3</w:t>
      </w:r>
    </w:p>
    <w:p>
      <w:r>
        <w:t>Au regard de la jurisprudence qui vient d'être rappelée, il n'apparaît certainement pas contraire au droit fédéral de considérer que les dispositions pour cause de mort prises par X.________ en faveur de dame Y.________ ne peuvent être qualifiées d'immorales, étant précisé qu'il s'agit uniquement de juger des dispositions en cause et non de l'exhérédation par le défunt de son épouse, exhérédation qui n'a d'ailleurs en fin de compte déployé aucun effet. Comme l'a relevé la cour cantonale, X.________ vivait avec dame Y.________ depuis presque vingt-cinq ans au moment de son décès, survenu alors que les "amants" étaient âgés respectivement de huitante et septante-cinq ans. dame Y.________ a assumé pendant tout ce temps la tenue du ménage de X.________, qui la considérait comme sa seconde épouse et la présentait comme telle à des tiers. Elle l'a soutenu moralement en particulier pendant les dernières années de sa vie, lorsqu'il a été victime d'un grave accident de cheval en 1983, puis atteint d'un cancer qui l'a emporté en décembre 1985. Dès 1983, elle lui a en outre prodigué des soins attentifs et journaliers. Dans ce contexte, la constatation de la cour cantonale selon laquelle dame Y.________ ne s'intéressait pas aux questions d'argent, qui lui étaient étrangères, n'est pas déterminante. En effet, sur le vu des circonstances qui viennent d'être rappelées, les dispositions à cause de mort prises en sa faveur - dont il n'est au demeurant pas établi qu'elle ait eu connaissance avant l'ouverture de la succession - ne sauraient de toute manière, à l'évidence, être considérées comme un pretium stupri.</w:t>
      </w:r>
    </w:p>
    <w:p>
      <w:r>
        <w:rPr>
          <w:b/>
        </w:rPr>
        <w:t>E. 2.4</w:t>
      </w:r>
    </w:p>
    <w:p>
      <w:r>
        <w:t>Le demandeur affirme au surplus que les dispositions testamentaires instaurant le notaire G.________ ainsi que F.________ comme exécuteurs testamentaires devraient être annulées comme étant contraires aux moeurs, puisque le premier avait dissimulé l'existence des rentes qu'il payait à dame Y.________ et que le second était impliqué dans la dissimulation du safe. Ce moyen apparaît manifestement dénué de fondement. En effet, même si l'on devait considérer comme constants les reproches ainsi adressés par le demandeur aux exécuteurs testamentaires, c'est tout au plus le comportement de ces derniers postérieurement à l'ouverture de la succession qui pourrait être considéré comme contraire aux moeurs. Or l'art. 519 al. 1 ch. 4 ne vise que l'hypothèse où une disposition à cause de mort est contraire aux moeurs par elle-même, ou par les conditions dont elle est grevée.</w:t>
      </w:r>
    </w:p>
    <w:p>
      <w:r>
        <w:rPr>
          <w:b/>
        </w:rPr>
        <w:t>E. 3.1</w:t>
      </w:r>
    </w:p>
    <w:p>
      <w:r>
        <w:t>Le demandeur reproche ensuite aux juges cantonaux d'avoir "balayé d'un revers de main" ses conclusions relatives à l'inexistence de la donation à dame Y.________ de la quasi-totalité du mobilier garnissant "Le Manoir", en admettant l'existence de cette donation sur la seule base du "rappel" qu'en avait fait X.________ dans son testament du 17 octobre 1983. Le demandeur expose que la donation n'est pas un acte unilatéral, mais un contrat qui suppose notamment une acceptation par le donataire. En outre, le donateur doit livrer la chose et en transférer la propriété; or comme "Le Manoir" était loué par la SI H.________ SA, certes propriété de dame Y.________, à X.________, le mobilier serait toujours resté dans la sphère de possession du "pseudo-donateur". Enfin, alors que le mobilier litigieux a été évalué selon expertise à 289'520 fr., dame Y.________ ne l'a pas annoncé dans sa déclaration d'impôt à partir de 1977 et elle n'a pas payé de droit de mutation quant à une éventuelle donation de meubles. Ainsi, non seulement n'y aurait-il eu aucune tradition ou comportement actif faisant penser que le donateur donnait effectivement, mais encore le comportement de la bénéficiaire après le 11 février 1977 exclurait qu'elle ait alors accepté une donation. Partant, l'autorité cantonale aurait méconnu le droit fédéral, soit les art. 239 ss CO , en tenant la donation pour établie à satisfaction de droit. Les premiers juges auraient au surplus violé l' art. 8 CC en ne prenant pas en compte que dame Y.________ avait l'obligation de collaborer à la preuve quant à la réalité de la donation, ce qu'elle n'avait pas fait.</w:t>
      </w:r>
    </w:p>
    <w:p>
      <w:r>
        <w:rPr>
          <w:b/>
        </w:rPr>
        <w:t>E. 3.2</w:t>
      </w:r>
    </w:p>
    <w:p>
      <w:r>
        <w:t>En considérant que la donation du mobilier garnissant "Le Manoir" était établie par le chiffre 5 du testament du 17 octobre 1983, et que le seul fait que dame Y.________ n'ait pas annoncé cette donation au fisc ne permettait pas de conclure à l'inexistence de la donation, la cour cantonale a manifestement procédé à une appréciation des preuves, qui l'a conduite à admettre que les éléments de fait constitutifs de la donation étaient établis en l'espèce. Rien ne permet de penser que les juges cantonaux auraient méconnu la nécessité d'une acceptation et d'un transfert de la possession. En effet, s'agissant de l'acceptation par dame Y.________, il convient de relever que si la donation est un contrat dont la perfection exige l'acceptation ( art. 244 CO ), l'acceptation tacite ( art. 6 CO ) d'une libéralité se présume ( ATF 110 II 156 consid. 2d). Quant au fait que le mobilier donné ait continué à garnir "Le Manoir", il n'empêche pas qu'il ait eu remise dudit mobilier à dame Y.________, puisque celle-ci, qui faisait ménage commun avec X.________, y avait son domicile. Cela étant, savoir s'il y a eu acceptation et tradition du mobilier relève de l'appréciation des preuves, laquelle n'est pas réglée par l' art. 8 CC ( ATF 115 II 484 consid. 2b; 114 II 289 consid. 2a et les arrêts cités) et ne peut pas être critiquée en instance de réforme ( art. 55 al. 1 let . c et art. 63 al. 2 OJ ; ATF 126 III 189 consid. 2a; 125 III 78 consid. 3a). Le recours se révèle ainsi irrecevable sur ce point.</w:t>
      </w:r>
    </w:p>
    <w:p>
      <w:r>
        <w:rPr>
          <w:b/>
        </w:rPr>
        <w:t>E. 4.1</w:t>
      </w:r>
    </w:p>
    <w:p>
      <w:r>
        <w:t>Selon le demandeur, les premiers juges auraient dû retenir que la donation de mobilier faite le 11 février 1977 (pour le cas où elle ne serait pas "annulée"), de même que l'abandon le 3 janvier 1975 par X.________ de sa note d'honoraires du 31 décembre 1974, avaient été faites dans l'intention d'éluder la réserve, au sens de l' art. 527 ch. 4 CC . Selon le demandeur, cette volonté d'éluder la réserve résultait en effet de deux éléments factuels déterminants : d'une part, la location le 12 avril 1985 par X.________, avec procuration valable post mortem en faveur de dame Y.________, d'un safe qui n'a pas été mentionné comme un actif de la succession et a été vidé en catimini par dame Y.________ le 29 janvier 1986; d'autre part, le contenu des testaments des 6 janvier 1976 et 17 octobre 1983, dont l'interprétation selon le principe de la confiance constituerait une question de droit que le Tribunal fédéral peut revoir librement. Ces éléments, de même que l'ensemble du comportement du défunt, démontreraient de façon définitive la volonté générale et permanente de ce dernier d'avantager sa maîtresse à sa mort, aux dépens de ses héritiers légaux. Dans ces conditions, il serait abusif d'exiger du demandeur qu'il prouve à satisfaction un comportement dolosif dans un cas extrêmement précis.</w:t>
      </w:r>
    </w:p>
    <w:p>
      <w:r>
        <w:rPr>
          <w:b/>
        </w:rPr>
        <w:t>E. 4.2</w:t>
      </w:r>
    </w:p>
    <w:p>
      <w:r>
        <w:t>Il incombe au demandeur à l'action en réduction d'établir qu'une aliénation déterminée a été faite par le défunt dans l'intention manifeste d'éluder les règles concernant la réserve; l'existence d'une telle intention doit être appréciée au moment de l'aliénation litigieuse, en tenant compte du patrimoine du de cujus à ce moment-là et de la valeur de la libéralité en question ( ATF 128 III 314 consid. 4 et les références citées). C'est dès lors en vain que le demandeur cherche à se référer d'une part à "la volonté générale et permanente" du défunt d'avantager sa maîtresse aux dépens de ses héritiers légaux, et d'autre part à des éléments postérieurs aux libéralités litigieuses, sans même chercher à exposer que celles-ci étaient objectivement propres à porter préjudice aux héritiers réservataires au moment où elles ont été faites. Au regard des faits tels qu'ils ont été constatés par l'autorité cantonale ( art. 63 al. 2 OJ ), on ne voit pas en quoi celle-ci aurait violé le droit fédéral ( art. 43 al. 1 OJ ) en ne considérant pas la donation de mobilier faite le 11 février 1977, ainsi que l'abandon le 3 janvier 1975 par X.________ de sa note d'honoraires du 31 décembre 1974, comme des libéralités réductibles au regard de l' art. 527 ch. 4 CC .</w:t>
      </w:r>
    </w:p>
    <w:p>
      <w:r>
        <w:rPr>
          <w:b/>
        </w:rPr>
        <w:t>E. 5.1</w:t>
      </w:r>
    </w:p>
    <w:p>
      <w:r>
        <w:t>Le demandeur reproche enfin à la cour cantonale d'avoir rejeté à tort ses conclusions VII et VIII. Il fait valoir qu'il a un intérêt à ce que soient constatés dans le dispositif du jugement - qui a seul autorité de chose jugée - aussi bien sa qualité d'héritier réservataire, établie à concurrence de 9/32, que les montants qui doivent être ajoutés aux biens existants pour le calcul de cette réserve.</w:t>
      </w:r>
    </w:p>
    <w:p>
      <w:r>
        <w:rPr>
          <w:b/>
        </w:rPr>
        <w:t>E. 5.2</w:t>
      </w:r>
    </w:p>
    <w:p>
      <w:r>
        <w:t>Aux termes de l' art. 522 al. 1 CC , les héritiers qui ne reçoivent pas le montant de leur réserve ont l'action en réduction jusqu'à due concurrence contre les libéralités qui excèdent la quotité disponible. Le jugement de réduction est un jugement formateur, qui modifie avec effet rétroactif la situation juridique en annulant, partiellement ou totalement, les dispositions du de cujus qui portent atteinte à la réserve et en conférant à l'héritier réservataire qui ne l'a pas encore la qualité d'héritier effectif ( ATF 115 II 211 consid. 4; 110 II 228 consid. 7c; 104 II 75 consid. II 3b/bb; 102 II 329 consid. 2a; 86 II 340 consid. 5; Piotet, Droit successoral, Traité de droit privé suisse, Tome IV, 1975, p. 441; Tuor/Schnyder/Schmid, Das Schweizerische Zivilgesetzbuch, 11e éd., p. 475; Escher, Zürcher Kommentar, Band III, 1959, Einleitung ad art. 522-533 CC , n. 14; Tuor, Berner Kommentar, Band III/1, 1952, Vorbemerkungen ad art. 522-533 CC , n. 8; Forni/Piatti, Basler Kommentar, Zivilgesetzbuch II, 2e éd., 2003, Vor art. 522-533 CC , n. 15; Guinand/Stettler, Droit civil II, Successions, 2e éd., 1990, n. 302 s.). Dans certains cas - ainsi lorsque la promesse de donner du de cujus a déjà été exécutée, lorsque le legs a déjà été délivré ou lorsque les héritiers effectifs existant à l'ouverture de la succession ont déjà partagé -, l'action en réduction peut se doubler d'une action en prestation, de nature personnelle ( ATF 115 II 211 consid. 4; 110 II 228 consid. 7c; 102 II 329 consid. 2a; Tuor/Schnyder/Schmid, op. cit., p. 475; Guinand/Stettler, op. cit., n. 303). Les héritiers réservataires ne sont toutefois pas tenus d'intenter une telle action, et ils peuvent y renoncer ( ATF 115 II 211 consid. 4).</w:t>
      </w:r>
    </w:p>
    <w:p>
      <w:r>
        <w:rPr>
          <w:b/>
        </w:rPr>
        <w:t>E. 5.3</w:t>
      </w:r>
    </w:p>
    <w:p>
      <w:r>
        <w:t>En l'espèce, la cour cantonale a raisonné en bref de la manière suivante : Les défendeurs ayant renoncé à se prévaloir des clauses d'exhérédation contenues dans les testaments litigieux, le demandeur est héritier réservataire de X.________, et ce à concurrence de 9/32 de la succession. Sa réserve doit être calculée sur un montant de 1'812'281 fr. 25, obtenu en ajoutant à l'actif net inventorié, qui se monte à 1'341'987 fr. 50, la somme des libéralités entre vifs réductibles en vertu de l' art. 527 al. 3 CC , soit 470'293 fr. 75. Elle équivaut ainsi à 509'704 fr. 10, soit à 9/32 de 1'812'281 fr. 25. Comme ce montant reste inférieur au solde des actifs nets inventoriés disponibles après paiement des sommes dues aux autres héritiers réservataires, soit 400'000 fr. à la veuve du défunt et 365'000 fr. à sa fille, l'action en réduction exercée par le demandeur doit être rejetée (cf. lettre J.f supra). Cette dernière conclusion est erronée. En effet, il est manifeste que, si la réserve du demandeur peut être reconstituée sans qu'il soit nécessaire d'exercer la réduction sur les libéralités entre vifs (cf. art. 532 CC ), cette reconstitution présuppose nécessairement la réduction des dispositions à cause de mort prises en faveur de dame Y.________. Celle-ci est en effet, après l'exécution des transactions conclues avec la veuve et la fille du défunt, la seule héritière effective qui conserve des droits sur les biens existants. Or cette réduction nécessite un jugement formateur, afin d'annuler les dispositions du de cujus en faveur de dame Y.________ dans la mesure où elles portent atteinte à la réserve du demandeur et de conférer à ce dernier, héritier réservataire, la qualité d'héritier effectif (cf. consid. 5.2 supra). Il s'ensuit qu'en rejetant les conclusions du demandeur tendant à un tel jugement formateur, la cour cantonale a méconnu la notion même de l'action en réduction.</w:t>
      </w:r>
    </w:p>
    <w:p>
      <w:r>
        <w:rPr>
          <w:b/>
        </w:rPr>
        <w:t>E. 5.4</w:t>
      </w:r>
    </w:p>
    <w:p>
      <w:r>
        <w:t>Il convient dès lors de réformer le jugement attaqué en ce sens que le demandeur est reconnu héritier réservataire de feu X.________ à concurrence de 9/32 (neuf trente-deuxièmes) de la succession, et que l'institution d'héritier de dame Y.________ par feu X.________ est réduite à ce qui excède le montant de la réserve du demandeur, laquelle doit être calculée en ajoutant aux biens existants un montant de 470'293 fr. 75 en application de l' art. 475 CC .</w:t>
      </w:r>
    </w:p>
    <w:p>
      <w:r>
        <w:rPr>
          <w:b/>
        </w:rPr>
        <w:t>E. 6</w:t>
      </w:r>
    </w:p>
    <w:p>
      <w:r>
        <w:t>En définitive, le recours doit être partiellement admis dans la mesure où il est recevable et le jugement entrepris réformé dans le sens indiqué au consid. 5.4 ci-dessus. Le jugement attaqué sera par ailleurs annulé aux chiffres II et III de son dispositif, relatifs aux frais et dépens, la cause étant renvoyée à l'autorité cantonale pour nouvelle décision sur les frais et dépens de la procédure cantonale. Devant le Tribunal fédéral, le demandeur obtient partiellement gain de cause (cf. consid. 5 supra), mais succombe pour une part plus importante de ses conclusions (cf. consid. 2 à 4 supra). L'émolument de justice pour la procédure devant le Tribunal fédéral, qui doit être fixé à 15'000 fr., sera ainsi mis pour deux tiers à la charge du demandeur et pour un tiers à la charge solidaire des défendeurs ( art. 156 al. 3 et 7 OJ ), qui ont conclu conjointement au rejet du recours. Pour ce qui est des dépens, le demandeur versera aux défendeurs une indemnité de 5'000 fr. à titre de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