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5C.79/2001 vom 24. August 2001</w:t>
      </w:r>
    </w:p>
    <w:p>
      <w:r>
        <w:t>Bundesgericht, 2001-08-24, DE</w:t>
      </w:r>
    </w:p>
    <w:p>
      <w:r>
        <w:rPr>
          <w:b/>
        </w:rPr>
        <w:t xml:space="preserve">Quelle: </w:t>
      </w:r>
      <w:r>
        <w:t>https://mcp.opencaselaw.ch/entscheid/bger_5C.79_2001</w:t>
      </w:r>
    </w:p>
    <w:p>
      <w:r>
        <w:t>FR: TF 5C.79/2001 du 24 août 2001</w:t>
      </w:r>
    </w:p>
    <w:p>
      <w:r>
        <w:t>IT: TF 5C.79/2001 del 24 agosto 2001</w:t>
      </w:r>
    </w:p>
    <w:p>
      <w:pPr>
        <w:pStyle w:val="Heading2"/>
      </w:pPr>
      <w:r>
        <w:t>Regeste</w:t>
      </w:r>
    </w:p>
    <w:p>
      <w:r>
        <w:t>Erbrecht</w:t>
      </w:r>
    </w:p>
    <w:p>
      <w:pPr>
        <w:pStyle w:val="Heading2"/>
      </w:pPr>
      <w:r>
        <w:t>Erwägungen</w:t>
      </w:r>
    </w:p>
    <w:p>
      <w:r>
        <w:rPr>
          <w:b/>
        </w:rPr>
        <w:t>E. 1</w:t>
      </w:r>
    </w:p>
    <w:p>
      <w:r>
        <w:t>a) Das Kantonsgericht hat im angefochtenen Urteil ausgeführt, die gesetzliche Frist zur Geltendmachung des Gewinnanteilsrechts habe, als die Erben des C.________ sen. den Erbteilungsvertrag im Jahre 1952 abgeschlossen hätten, bei landwirtschaftlichen Grundstücken 15 Jahre betragen. Gewinnanteilsrechte an nicht landwirtschaftlichen Grundstücken seien dagegen im Grundbuch nicht vormerkbar gewesen. Das Bezirksgericht habe schlüssig und überzeugend dargelegt, Vieles spreche dafür, dass nach dem Willen der Erben auch deren obligatorisch wirkende Gewinnanteilsabrede betreffend das nicht landwirtschaftliche Grundstück "Seeli Y.________" zeitlich auf 15 Jahre beschränkt gewesen sei. Es könne deshalb auf diese Erwägungen verwiesen werden. Die analoge Anwendung der zeitlichen Geltung eines Gewinnanteilsrechts für landwirtschaftliche Grundstücke erweise sich durchaus als sachgerecht. Dies gelte umso mehr, als das betreffende Grundstück wegen der im Zeitpunkt des Abschlusses des Erbvertrages fehlenden Überbauung äusserlich einem landwirtschaftlichen Grundstück geglichen habe und der Zweck der Vereinbarung eines Gewinnanteilsrechts - nämlich zu verhindern, dass die übrigen Erben nicht benachteiligt würden - derselbe sei, unabhängig davon, ob es sich um ein landwirtschaftliches oder nicht landwirtschaftliches Grundstück handle. b) Das Bezirksgericht X.________, auf dessen Begründung die Vorinstanz verwiesen hat, führte aus, ein Gewinnanteilsrecht, wie jede Dauerforderungsbeziehung, könne nie von unbegrenzter Dauer sein. Jede vertragliche Bindung, auch wenn sie vom Wortlaut her für unbegrenzte Zeit eingegangen werde, sei zeitlich begrenzt. Es seien die kurz- bis mittelfristigen Perspektiven, die im Wesentlichen den Inhalt von Parteiabreden bestimmten. Im Zusammenhang mit landwirtschaftlichen Grundstücken habe die gesetzliche Frist zur Geltendmachung des Gewinnanteils im Jahre 1952 gemäss aArt. 619 ZGB 15 Jahre betragen. Vieles spreche dafür, dass nach dem Willen der Erben des C.________ sen. auch deren obligatorisch wirkende Gewinnanteilsabrede betreffend dem (nicht landwirtschaftlichen) "Seeli Y.________" zeitlich auf 15 Jahre beschränkt gewesen sei. Die von den Erben im Rahmen des Erbteilungsvertrages von 1952 getroffene Gewinnanteilsabrede sei bis zur Grundbuchbereinigung im Jahre 1959 im Grundbuch vorgemerkt gewesen, obschon die Vormerkbarkeit von Gewinnanteilsrechten gemäss klarer gesetzlicher Grundlage auf landwirtschaftliche Grundstücke beschränkt gewesen sei (das Gewinnanteilsrecht an nicht landwirtschaftlichen Grundstücken sei erst mit Inkrafttreten der Gesetzesnovelle vom 19. März 1965 über das Baurecht und den Grundstückverkehr vormerkbar geworden). Nachdem sich die Parteien des Erbteilungsvertrages bei der Frage der Vormerkung auf aArt. 619 ZGB abgestützt hätten - dies obwohl, wie oben dargestellt, zu Unrecht -, so liege der Schluss nahe, dass die Parteien auch bezüglich der Frist zur Geltendmachung des Gewinnanteils an nichts anderes als die gesetzliche Lösung gemäss aArt. 619 ZGB gedacht hätten, also an 15 Jahre. Die Parteien hätten deshalb überhaupt keine Veranlassung gehabt, eine ausdrückliche Befristung im Erbteilungsvertrag zu statuieren, was das diesbezügliche Schweigen erkläre.</w:t>
      </w:r>
    </w:p>
    <w:p>
      <w:r>
        <w:rPr>
          <w:b/>
        </w:rPr>
        <w:t>E. 2</w:t>
      </w:r>
    </w:p>
    <w:p>
      <w:r>
        <w:t>Diese Auslegung des Erbteilungsvertrags verletzt kein Bundesrecht. a) Die Klägerin führt aus, die Vorinstanz habe den wirklichen Vertragswillen nicht ermittelt, sondern insofern lediglich auf die Erstinstanz verwiesen. Sofern darin eine Rüge erblickt werden kann, ist sie unzulässig und unbegründet. Einerseits wäre die Rüge, das Kantonsgericht dürfe nicht auf die Begründung des erstinstanzlichen Urteils verweisen, nicht mit Berufung, sondern mit staatsrechtlicher Beschwerde zu erheben, weil diese Frage das kantonale Verfahrensrecht beschlägt, und andererseits bietet das kantonale Verfahrensrecht eine eindeutige Lösung. Das Kantonsgericht kann gemäss § 136 der Gerichtsordnung vom 10. Mai 1974 des Kantons Schwyz auf die Entscheidgründe der Vorinstanz verweisen, soweit es ihnen beipflichtet. b) Die Klägerin führt weiter aus, die Erstinstanz habe bezüglich des wirklichen Vertragswillens lediglich festgehalten, aufgrund der damaligen landwirtschaftlichen Regelung (15 Jahre) und der mangelnden ausdrücklichen Stipulierung eines unbefristeten Anspruchs sei die landwirtschaftliche Dauer für die Parteien massgebend gewesen. Diese verkürzte Wiedergabe des erstinstanzlichen Urteils trifft den Kern der Begründung nicht, wie sich aus der Zusammenfassung des erstinstanzlichen Urteils in Erwägung 1b ohne weiteres ergibt. Es braucht deshalb nicht geprüft zu werden, ob die von der Klägerin wiedergegebene Begründung Bundesrecht verletzen würde. c) Die Vorinstanzen haben den wirklichen Vertragswillen der Parteien vielmehr aus dem Verhalten der Parteien geschlossen. Sie haben für das Bundesgericht verbindlich festgestellt, die Parteien seien fälschlicherweise davon ausgegangen, das Gewinnanteilsrecht sei gemäss aArt. 619 ZGB vormerkbar. Sie hätten dieses auf 15 Jahre beschränkte Gewinnanteilsrecht vereinbaren wollen und entsprechend auch beim Grundbuchamt zur Vormerkung angemeldet. Indem die Erben - wie auch der Notar und Grundbuchverwalter - fälschlicherweise angenommen haben, es handle sich beim Gewinnanteilsrecht ihrer nicht landwirtschaftlichen Liegenschaft um ein vormerkbares Recht im Sinne von aArt. 619 ZGB und sie dieses - auf 15 Jahre beschränkte - Recht dem Grundbuch angemeldet haben und der Grundbuchverwalter dieses vorgemerkt hat, durften die kantonalen Gerichte aus der allgemeinen Lebenserfahrung schliessen, die Parteien hätten dieses auf 15 Jahre beschränkte Gewinnanteilsrecht einräumen wollen (zur Abgrenzung von Tat- und Rechtsfrage: Dressler, Die Tatsachenüberprüfung durch das Bundesgericht im Berufungsverfahren, ZSR NF 94/1975 II S. 37 ff. S. 43 f.; vgl. Corboz, Le recours en réforme au Tribunal fédéral, in SJ 2000 II 1 ff. S. 62; Messmer/Imboden, Die eidgenössischen Rechtsmittel in Zivilsachen, Zürich 1992, N. 96 S. 132; Poudret/Sandoz-Monod, Commentaire de la loi fédérale d'organisation judiciaire, N. 4.4 zu Art. 63 OG ). Das Kantonsgericht hat ergänzend festgehalten, der Irrtum über die Vormerkbarkeit dieses Gewinnanteilsrechts sei umso leichter erklärbar, als die "Seeli Y.________"-Parzelle unüberbaut gewesen sei und daher einer landwirtschaftlichen Parzelle geglichen habe. Es gibt daher entgegen der Auffassung der Klägerin hinreichend konkrete Anhaltspunkte für die Annahme, dass die Parteien, auch wenn dies im Vertragstext nicht explizit zum Ausdruck kommt, ein befristetes Gewinnanteilsrecht von 15 Jahren vereinbart haben (vgl. zum Regelbeweismass: BGE 118 II 235 E. 3c S. 238 f.). Es trifft zwar zu, dass sie sich obligatorisch auch länger hätten verpflichten können. Dies haben sie indessen nicht getan. Da das 15-jährige Gewinnanteilsrecht 1967 abgelaufen ist, kann sich die Klägerin an den allfälligen Gewinnen, welche die Beklagte aus der in der zweiten Hälfte der 80-er Jahre errichteten Bootssteganlage erwirtschaftet hat, nicht beteiligen. Die Berufung muss abgewiesen werden.</w:t>
      </w:r>
    </w:p>
    <w:p>
      <w:r>
        <w:rPr>
          <w:b/>
        </w:rPr>
        <w:t>E. 3</w:t>
      </w:r>
    </w:p>
    <w:p>
      <w:r>
        <w:t>a) Bei dieser Sachlage ist auch Art. 8 ZGB nicht verletzt. Diese Bestimmung regelt einerseits die Beweislastverteilung und die Folgen der Beweislosigkeit und andererseits gewährleistet sie bundesrechtlich einen Beweisführungsanspruch ( BGE 114 II 289 E. 2a S. 290 mit Hinweisen; 122 III 219 E. 3c S. 223). Nachdem das Kantonsgericht den wirklichen Parteiwillen hinreichend festgestellt und eine vertragliche Befristung auf 15 Jahre annehmen durfte, stellt sich die Frage nach der Beweislast, das heisst danach, wen die Folgen der Beweislosigkeit trifft, nicht, und die Rüge, der bundesrechtliche Beweisführungsanspruch sei verletzt worden, ist unbegründet. Ebenso wenig braucht geprüft zu werden, ob die von der Vorinstanz angestellte Eventualerwägung bundesrechtmässig ist, welche sich für den Fall, dass sich dem Erbteilungsvertrag keine Befristung entnehmen lässt, mit Art. 27 ZGB auseinandersetzt. Inwiefern die kantonalen Entscheide mit ihrer Hauptbegründung widersprüchlich sein könnten, legt die Klägerin nicht hinreichend begründet dar. b) Auch die weiteren Voraussetzungen eines Gewinnanteilsrechts brauchen nicht geprüft zu werden. So ist beim gefundenen Ergebnis unerheblich, ob es sich bei der von der Beklagten realisierten Bootsstationierungsanlage um eine Auffüllung im Sinne der streitigen Ziffer IX Bst. b des Erbteilungsvertrags handelt und ob das obligatorische Gewinnbeteiligungsrecht auch gegenüber der Beklagten noch Bestand hat, nachdem diese das Grundstück bekanntlich von den ursprünglichen Vertragsparteien erworben hat. c) Schliesslich braucht auch entgegen dem Antrag der Klägerin kein doppelter Schriftenwechsel durchgeführt zu werden. Die Klägerin konnte zur Gegenbemerkung der Vorinstanz Stellung nehmen (Urteil des Europäischen Gerichtshofes für Menschenrechte vom 27. Februar 1997 i.S. Nideröst-Huber gegen Schweiz). Die Berufungsantwort der Beklagten enthält zudem keine neuen Unterlagen oder Gesichtspunkte (Poudret, a.a.O., N. 2.6 zu Art. 59).</w:t>
      </w:r>
    </w:p>
    <w:p>
      <w:r>
        <w:rPr>
          <w:b/>
        </w:rPr>
        <w:t>E. 4</w:t>
      </w:r>
    </w:p>
    <w:p>
      <w:r>
        <w:t>Bei diesem Ausgang des Verfahrens wird die Klägerin kostenpflichtig ( Art. 156 Abs. 1 OG ). Sie hat die Beklagte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