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5C.77/2005 vom 27. Mai 2005</w:t>
      </w:r>
    </w:p>
    <w:p>
      <w:r>
        <w:t>Bundesgericht, 2005-05-27, FR</w:t>
      </w:r>
    </w:p>
    <w:p>
      <w:r>
        <w:rPr>
          <w:b/>
        </w:rPr>
        <w:t xml:space="preserve">Quelle: </w:t>
      </w:r>
      <w:r>
        <w:t>https://mcp.opencaselaw.ch/entscheid/bger_5C.77_2005</w:t>
      </w:r>
    </w:p>
    <w:p>
      <w:r>
        <w:t>FR: TF 5C.77/2005 du 27 mai 2005</w:t>
      </w:r>
    </w:p>
    <w:p>
      <w:r>
        <w:t>IT: TF 5C.77/2005 del 27 maggio 2005</w:t>
      </w:r>
    </w:p>
    <w:p>
      <w:pPr>
        <w:pStyle w:val="Heading2"/>
      </w:pPr>
      <w:r>
        <w:t>Erwägungen</w:t>
      </w:r>
    </w:p>
    <w:p>
      <w:r>
        <w:rPr>
          <w:b/>
        </w:rPr>
        <w:t>E. 1.1</w:t>
      </w:r>
    </w:p>
    <w:p>
      <w:r>
        <w:t>Le Tribunal fédéral examine d'office et librement la recevabilité des recours qui lui sont soumis ( ATF 130 II 388 consid. 1; 129 II 225 consid. 1 et les arrêts cités; spécialement pour le recours en réforme: 129 III 288 consid. 2.1).</w:t>
      </w:r>
    </w:p>
    <w:p>
      <w:r>
        <w:t>Interjeté en temps utile et dirigé contre une décision finale rendue par la juridiction suprême d'un canton sur les effets accessoires d'un divorce, le présent recours est recevable au regard des art. 44, 48 al. 1 et 54 al. 1 OJ.</w:t>
      </w:r>
    </w:p>
    <w:p>
      <w:r>
        <w:rPr>
          <w:b/>
        </w:rPr>
        <w:t>E. 1.2</w:t>
      </w:r>
    </w:p>
    <w:p>
      <w:r>
        <w:t>Saisi d'un recours en réforme, le Tribunal fédéral doit conduire son raisonnement juridique sur la base des faits constatés dans la décision attaquée, à moins que des dispositions fédérales en matière de preuve n'aient été violées, qu'il n'y ait lieu de rectifier des constatations reposant sur une inadvertance manifeste ( art. 63 al. 2 OJ ) ou qu'il ne faille compléter l'état de fait parce que l'autorité cantonale ne s'est pas prononcée sur des faits pertinents régulièrement allégués ( art. 64 OJ ) ou, s'agissant de statuer sur le sort d'enfants mineurs dans le divorce de leurs parents, parce qu'elle a manqué au devoir d'instruction d'office découlant pour elle de l' art. 145 al. 1 CC . Sauf s'ils consistent dans l'invocation précise de l'une ou l'autre de ces exceptions, les griefs contre l'appréciation des preuves par la cour cantonale et ceux fondés sur un état de fait différent de celui contenu dans la décision attaquée ne peuvent pas être pris en considération (cf. art. 55 al. 1 let . c OJ; ATF 130 III 102 consid. 2.2 p. 106, 136 consid. 1.4).</w:t>
      </w:r>
    </w:p>
    <w:p>
      <w:r>
        <w:t>Il s'ensuit que le Tribunal fédéral ne peut notamment pas substituer sa propre appréciation d'une expertise à celle de la cour cantonale, même si le rapport déposé par l'expert est intégré dans l'état de fait de la décision attaquée. Dans le cas présent, les arguments que le défendeur développe à partir des rapports d'expertise reproduits ou résumés dans l'état de fait de la décision attaquée ne sont donc admissibles que dans la mesure où la cour cantonale s'est elle-même ralliée aux constatations ou aux conclusions invoquées de l'expert. Pour le surplus, ces arguments tendent en réalité à remettre en cause l'appréciation des rapports d'expertise effectuée par la cour cantonale et sont donc irrecevables.</w:t>
      </w:r>
    </w:p>
    <w:p>
      <w:r>
        <w:rPr>
          <w:b/>
        </w:rPr>
        <w:t>E. 1.3</w:t>
      </w:r>
    </w:p>
    <w:p>
      <w:r>
        <w:t>Par ailleurs, le recours en réforme n'est pas ouvert pour violation des droits constitutionnels du citoyen (cf. art. 43 al. 1 in fine OJ). Il n'y a dès lors pas lieu d'entrer en matière sur le moyen que le défendeur prend, en se plaignant que la cour cantonale n'ait pas répondu aux critiques qu'il dit avoir formulées contre l'état de fait du jugement de première instance, d'une prétendue violation de son droit à l'obtention d'une décision motivée, soit de l'une des composantes du droit d'être entendu que lui confère l' art. 29 al. 2 Cst. ( ATF 122 IV 8 consid. 2c p. 14 s. et les arrêts cités). Il en va de même du grief selon lequel les juges de première instance n'auraient pas suffisamment exposé les raisons pour lesquelles ils ont considéré que la mère était en mesure d'offrir à l'enfant un milieu plus stable et plus favorable que le père. Au demeurant, même si la Chambre des recours a renvoyé à l'état de fait du jugement de première instance, ce moyen ne vise pas la décision attaquée.</w:t>
      </w:r>
    </w:p>
    <w:p>
      <w:r>
        <w:rPr>
          <w:b/>
        </w:rPr>
        <w:t>E. 2.1</w:t>
      </w:r>
    </w:p>
    <w:p>
      <w:r>
        <w:t>A moins que les parties ne lui soumettent une convention permettant de maintenir l'exercice commun de l'autorité parentale, le juge du divorce est tenu d'attribuer l'autorité parentale sur les enfants mineurs des parties à l'un ou l'autre des parents (cf. art. 133 al. 1 et 3 CC ). Le critère déterminant pour le choix de ce parent est exclusivement l'intérêt de l'enfant, celui des père et mère étant relégué à l'arrière-plan. Une éventuelle requête commune des parents et l'avis éventuellement exprimé par l'enfant doivent être pris en considération ( art. 133 al. 2 CC ), mais ils ne sont pas décisifs en soi. Dans chaque cas, l'attribution doit se faire de manière à répondre le mieux possible aux besoins des enfants; au nombre des critères essentiels entrent en ligne de compte les relations personnelles entre les deux parents et l'enfant, les capacités éducatives respectives des parents et leur aptitude à prendre soin de l'enfant personnellement et à s'en occuper; il faut choisir la solution qui, au regard des données de l'espèce, est la mieux à même d'assurer à l'enfant la stabilité des relations nécessaires à un développement harmonieux des points de vue affectif, psychique, moral et intellectuel ( ATF 117 II 353 consid. 3 p. 354 s.; 115 II 206 consid. 4a p. 209 et 317 consid. 2 p. 319). Le désir d'attribution exprimé par l'enfant ne peut jouer un rôle important que s'il apparaît, compte tenu de l'âge et du développement de l'intéressé, qu'il est le résultat d'une ferme résolution de cet enfant et qu'il reflète véritablement une relation affective étroite avec le parent désigné (cf. ATF 122 III 401 consid. 3b p. 402 s.).</w:t>
      </w:r>
    </w:p>
    <w:p>
      <w:r>
        <w:t>Le juge appelé à se prononcer sur le fond, qui de par son expérience en la matière connaît le mieux les parties et le milieu dans lequel l'enfant est contraint de vivre, dispose à cet égard d'un large pouvoir d'appréciation.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(cf. ATF 117 II 353 consid. 3 p. 355 et l'arrêt cité).</w:t>
      </w:r>
    </w:p>
    <w:p>
      <w:r>
        <w:rPr>
          <w:b/>
        </w:rPr>
        <w:t>E. 2.2</w:t>
      </w:r>
    </w:p>
    <w:p>
      <w:r>
        <w:t>La cour cantonale a considéré, notamment par renvoi aux motifs du jugement de première instance, que le souhait exprimé par Y.________ de vivre chez son père ne traduisait pas une pensée propre. Les capacités éducatives et la disponibilité des deux parents étaient égales. Mais il y avait d'autant moins lieu de modifier la situation, qui était bonne, que, par la force des choses, la disponibilité du demi-frère de l'enfant diminuerait à terme. Plus disposée à favoriser le maintien de liens solides de l'enfant avec le père, la mère apparaissait plus en mesure d'offrir à Y.________ un milieu stable et favorable à un développement actif et sain. Le père utilisait l'enfant pour obtenir une victoire personnelle sur son ex-épouse et il était dès lors à craindre que les relations mère-fille ne deviennent plus difficiles si le défendeur se voyait attribuer l'autorité parentale et le droit de garde. Même si son discours était clair, l'enfant était prise dans le conflit de ses parents, qui durait depuis cinq ans. L'attribution des droits parentaux à la mère sous réserve d'un libre et large droit de visite au père se révélait dès lors la moins mauvaise solution possible, car elle limitait, dans l'intérêt bien compris de l'enfant, les effets négatifs du litige persistant entre les parents.</w:t>
      </w:r>
    </w:p>
    <w:p>
      <w:r>
        <w:rPr>
          <w:b/>
        </w:rPr>
        <w:t>E. 2.3.1</w:t>
      </w:r>
    </w:p>
    <w:p>
      <w:r>
        <w:t>Lorsqu'il soutient que sa fille n'aurait pas été instrumentalisée et que, sur l'attribution de l'autorité parentale et de la garde, elle aurait dès lors émis un avis autonome, motivé aussi bien par les bonnes relations père-fille que par le désir de l'enfant de vivre auprès de son demi-frère, le défendeur s'en prend, de manière irrecevable ( art. 55 al. 1 let . c OJ; cf. consid. 1.2 ci-dessus), aux constatations de fait de la cour cantonale, qui a retenu que le voeu d'attribution formulé par la fillette ne reflétait pas une volonté propre. Sur la base de cette dernière constatation de fait, qui lie la juridiction de réforme ( art. 63 al. 2 OJ ), il n'est pas contraire au droit fédéral de considérer que l'avis exprimé par l'enfant n'est pas décisif.</w:t>
      </w:r>
    </w:p>
    <w:p>
      <w:r>
        <w:rPr>
          <w:b/>
        </w:rPr>
        <w:t>E. 2.3.2</w:t>
      </w:r>
    </w:p>
    <w:p>
      <w:r>
        <w:t>Quand il fait valoir que la demanderesse n'accepterait aucune dérogation au droit de visite fixé à dire de justice, qu'elle chercherait par ce biais à limiter les contacts père-fille, qu'elle aurait une attitude possessive envers l'enfant, qu'elle tenterait de se l'approprier, qu'elle serait fermée au dialogue et qu'elle aurait même empêché l'enfant de passer des vacances en Espagne avec lui, le défendeur allègue, de manière irrecevable ( art. 55 al. 1 let . c OJ; cf. consid. 1.2 ci-dessus), des faits qui n'ont pas été retenus par la cour cantonale. Au surplus, en cherchant à dévaluer par de telles allégations les capacités éducatives de la mère, il remet en cause l'appréciation des preuves faite par la cour cantonale, qui a expressément admis, sur la base des rapports d'expertise, que les capacités éducatives des deux parents étaient égales.</w:t>
      </w:r>
    </w:p>
    <w:p>
      <w:r>
        <w:rPr>
          <w:b/>
        </w:rPr>
        <w:t>E. 2.3.3</w:t>
      </w:r>
    </w:p>
    <w:p>
      <w:r>
        <w:t>La cour cantonale a considéré que la situation actuelle de l'enfant était bonne et que la disponibilité de son demi-frère allait diminuer. Lorsqu'il fait valoir qu'il serait plus favorable pour elle que sa fille vive auprès de son demi-frère, qu'il aurait un appartement plus grand que la mère et qu'il serait en outre plus disponible qu'elle, le défendeur s'en prend donc à nouveau à l'appréciation des preuves par la cour cantonale. De tels griefs sont irrecevables à l'appui d'un recours en réforme ( art. 55 al. 1 let . c OJ; cf. consid. 1.2 ci-dessus).</w:t>
      </w:r>
    </w:p>
    <w:p>
      <w:r>
        <w:rPr>
          <w:b/>
        </w:rPr>
        <w:t>E. 2.3.4</w:t>
      </w:r>
    </w:p>
    <w:p>
      <w:r>
        <w:t>Le défendeur se méprend sur les motifs de la décision attaquée quand il soutient que les juges précédents auraient, à la suite des experts, cherché en priorité à calmer les craintes d'enlèvement de la mère, dont les intérêts auraient ainsi prévalu sur ceux de l'enfant. Au contraire, la cour cantonale a pris sa décision au terme d'une pesée d'intérêts exempte de toute référence aux craintes de la mère - qu'elle a d'ailleurs jugées injustifiées.</w:t>
      </w:r>
    </w:p>
    <w:p>
      <w:r>
        <w:rPr>
          <w:b/>
        </w:rPr>
        <w:t>E. 2.3.5</w:t>
      </w:r>
    </w:p>
    <w:p>
      <w:r>
        <w:t>C'est à tort également que le défendeur se prévaut, pour en déduire que l'autorité parentale devrait lui être attribuée à lui, du prétendu refus de la demanderesse de maintenir l'autorité parentale commune après le divorce. Outre que l'invocation de ce refus constitue un moyen de fait nouveau et, partant, irrecevable ( art. 55 al. 1 let . c OJ), l'autorité parentale commune ne peut être maintenue après le divorce que sur requête commune des parents (cf. art. 133 al. 3 CC et consid. 2.1 ci-dessus). Dès lors, même dans l'hypothèse où cette solution serait compatible avec l'intérêt de l'enfant, il n'existe pas de droit au maintien de l'autorité parentale commune après le divorce. Le refus d'un tel maintien par l'un des parents - refus qui n'a pas à être motivé - ne saurait donc conduire à l'attribution de l'autorité parentale à l'autre.</w:t>
      </w:r>
    </w:p>
    <w:p>
      <w:r>
        <w:rPr>
          <w:b/>
        </w:rPr>
        <w:t>E. 2.3.6</w:t>
      </w:r>
    </w:p>
    <w:p>
      <w:r>
        <w:t>Contrairement à ce qu'il croit, ce n'est pas le fait d'avoir prolongé la procédure que le défendeur s'est vu reprocher par la cour cantonale, mais bien le fait qu'il mène un combat personnel et qu'il utilise sa fille pour obtenir une victoire sur la demanderesse. Un tel comportement est effectivement préjudiciable pour l'enfant.</w:t>
      </w:r>
    </w:p>
    <w:p>
      <w:r>
        <w:rPr>
          <w:b/>
        </w:rPr>
        <w:t>E. 2.3.7</w:t>
      </w:r>
    </w:p>
    <w:p>
      <w:r>
        <w:t>En définitive, dans la faible mesure où ils sont recevables, les griefs du défendeur sont mal fondés. Dans sa pesée d'intérêts, la cour cantonale a pris en considération tous les critères pertinents et elle est parvenue à la conclusion que, disposée à maintenir des liens solides entre le père et l'enfant, la mère était plus apte à offrir à sa fille un milieu stable et favorable à un développement actif et sain. Sa décision n'est dès lors pas contraire au droit fédéral.</w:t>
      </w:r>
    </w:p>
    <w:p>
      <w:r>
        <w:rPr>
          <w:b/>
        </w:rPr>
        <w:t>E. 3</w:t>
      </w:r>
    </w:p>
    <w:p>
      <w:r>
        <w:t>A l'appui de son chef de conclusions subsidiaire en suppression de la contribution d'entretien mise à sa charge, le défendeur formule exclusivement des griefs fondés sur d'autres faits que ceux constatés dans la décision attaquée. En particulier, il ne ressort pas du jugement de première instance, ni de l'arrêt de la Chambre des recours, que chacun des parents assumerait en nature la moitié des frais de nourriture et de logement de l'enfant. Aussi, faute de reposer sur une motivation satisfaisant aux exigences de l' art. 55 al. 1 let . c OJ, ce chef de conclusions est-il irrecevable.</w:t>
      </w:r>
    </w:p>
    <w:p>
      <w:r>
        <w:t>Partant, le recours doit être rejeté dans la mesure où il est recevable.</w:t>
      </w:r>
    </w:p>
    <w:p>
      <w:r>
        <w:rPr>
          <w:b/>
        </w:rPr>
        <w:t>E. 4</w:t>
      </w:r>
    </w:p>
    <w:p>
      <w:r>
        <w:t>Comme les conclusions prises dans l'acte de recours apparaissaient d'emblée vouées à l'échec, l'assistance judiciaire doit être refusée ( art. 152 al. 1 OJ ). Le défendeur, qui succombe, supportera donc les frais de justice, dont le montant sera arrêté en fonction de sa situation financière (art. 153a al. 1 et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