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5C.76/2004 vom 25. Mai 2004</w:t>
      </w:r>
    </w:p>
    <w:p>
      <w:r>
        <w:t>Bundesgericht, 2004-05-25, FR</w:t>
      </w:r>
    </w:p>
    <w:p>
      <w:r>
        <w:rPr>
          <w:b/>
        </w:rPr>
        <w:t xml:space="preserve">Quelle: </w:t>
      </w:r>
      <w:r>
        <w:t>https://mcp.opencaselaw.ch/entscheid/bger_5C.76_2004</w:t>
      </w:r>
    </w:p>
    <w:p>
      <w:r>
        <w:t>FR: TF 5C.76/2004 du 25 mai 2004</w:t>
      </w:r>
    </w:p>
    <w:p>
      <w:r>
        <w:t>IT: TF 5C.76/2004 del 25 maggio 2004</w:t>
      </w:r>
    </w:p>
    <w:p>
      <w:pPr>
        <w:pStyle w:val="Heading2"/>
      </w:pPr>
      <w:r>
        <w:t>Regeste</w:t>
      </w:r>
    </w:p>
    <w:p>
      <w:r>
        <w:t>Droit des personnes</w:t>
      </w:r>
    </w:p>
    <w:p>
      <w:pPr>
        <w:pStyle w:val="Heading2"/>
      </w:pPr>
      <w:r>
        <w:t>Erwägungen</w:t>
      </w:r>
    </w:p>
    <w:p>
      <w:r>
        <w:rPr>
          <w:b/>
        </w:rPr>
        <w:t>E. 1</w:t>
      </w:r>
    </w:p>
    <w:p>
      <w:r>
        <w:t>Une action pour usurpation du nom est une contestation civile portant sur un droit de nature non pécuniaire, au sens de l' art. 44 OJ , dans la mesure où elle ne tend pas à des prestations pécuniaires ( ATF 102 II 161 consid. 1, 305 consid. 1; 95 II 481 consid. 1). Le recours est ainsi recevable sous l'angle de l' art. 44 OJ . Déposé en temps utile contre une décision finale prise en dernière instance cantonale, il est également recevable au regard des art. 54 al. 1 et 48 al. 1 OJ.</w:t>
      </w:r>
    </w:p>
    <w:p>
      <w:r>
        <w:rPr>
          <w:b/>
        </w:rPr>
        <w:t>E. 2</w:t>
      </w:r>
    </w:p>
    <w:p>
      <w:r>
        <w:t>La motivation en droit de l'arrêt de la Cour de justice, fondé sur les faits exposés plus haut, est en substance la suivante :</w:t>
      </w:r>
    </w:p>
    <w:p>
      <w:r>
        <w:rPr>
          <w:b/>
        </w:rPr>
        <w:t>E. 2.1</w:t>
      </w:r>
    </w:p>
    <w:p>
      <w:r>
        <w:t>Selon l' art. 29 al. 2 CC , celui qui est lésé par une usurpation de son nom peut intenter action pour la faire cesser. Il y a notamment usurpation lorsqu'une personne utilise sans droit le nom d'une autre pour se désigner elle-même; l'usurpation peut aussi consister dans l'utilisation d'un autre nom à la similitude trompeuse lorsqu'il y a risque de confusion ( ATF 95 II 481 consid. 3 p. 487). Ces principes sont également applicables au nom des associations ( ATF 117 II 513 ). Il faut que le nom, compte tenu de son degré d'originalité et de l'usage qui en est fait, soit devenu étroitement lié à la personne morale, de telle manière que l'on doive admettre un droit préférentiel de celle-ci sur son nom (Bucher, Personnes physiques et protection de la personnalité, 4e éd., 1999, n. 834 p. 205). En d'autres termes, la partie demanderesse doit démontrer avoir sur son nom un droit exclusif à la suite d'un usage général et prolongé (Tercier, Le nouveau droit de la personnalité, 1984, n. 445 p. 64). Celui qui invoque l' art. 29 al. 2 CC doit démontrer qu'il est lésé dans ses intérêts juridiques dignes de protection, lesquels peuvent n'être que de nature idéale, et qu'il existe un risque de confusion; il n'est cependant pas nécessaire que des confusions se soient effectivement produites ( ATF 128 III 353 consid. 4).</w:t>
      </w:r>
    </w:p>
    <w:p>
      <w:r>
        <w:rPr>
          <w:b/>
        </w:rPr>
        <w:t>E. 2.2</w:t>
      </w:r>
    </w:p>
    <w:p>
      <w:r>
        <w:t>En l'espèce, il n'est pas contesté que la demanderesse joue depuis de nombreuses années un rôle très important dans son domaine. Elle mentionne son nom allemand dans ses divers écrits rédigés dans cette langue. Les courriers en langue allemande lui sont quasi systématiquement adressés sous la version allemande de son nom et c'est cette même version qu'utilisent les journaux en langue allemande. Le nom allemand de la demanderesse est ainsi devenu étroitement rattaché à elle, nonobstant son [faible] degré d'originalité. Le fait que la demanderesse soit souvent désignée par son sigle SSO, seul ou avec son nom complet, et - ce qui est logique - par son nom français dans les textes en langue française, n'y change rien. Par conséquent, le nom de la demanderesse doit pouvoir bénéficier de la protection légale lorsque, comme en l'espèce, il est usurpé. En effet, le nom de la défenderesse est la traduction littérale de celui dont la protection est sollicitée.</w:t>
      </w:r>
    </w:p>
    <w:p>
      <w:r>
        <w:rPr>
          <w:b/>
        </w:rPr>
        <w:t>E. 2.3</w:t>
      </w:r>
    </w:p>
    <w:p>
      <w:r>
        <w:t>La demanderesse, qui est effectivement touchée dans ses intérêts dignes de protection, à tout le moins idéaux, a démontré à satisfaction de droit qu'il existe un risque de confusion entre les deux associations, dont les activités et buts se recoupent en partie. Toutes deux tendent à être présentes également hors de Suisse, ce qui, s'agissant de la demanderesse, est illustré par la publicité qu'elle a reçue de la société Allseas. A cet égard, le fait que cette dernière utilise les termes "Swiss Dental Association Switzerland" pour désigner la demanderesse ne fait que confirmer le risque de confusion créé par la présence, dans le même domaine, d'une autre association dénommée "Swiss Dentists' Society". S'il semble que les membres des deux associations savent les distinguer l'une de l'autre, il est possible que cela ne soit pas le cas de tiers intéressés, notamment des personnes morales ou physiques situées à l'étranger. Par conséquent, il convient de faire droit aux conclusions de la demanderesse tendant à la protection de son nom.</w:t>
      </w:r>
    </w:p>
    <w:p>
      <w:r>
        <w:rPr>
          <w:b/>
        </w:rPr>
        <w:t>E. 3.1</w:t>
      </w:r>
    </w:p>
    <w:p>
      <w:r>
        <w:t>Dans la partie de son mémoire de recours intitulée "en faits", la défenderesse affirme que "[d]ans le cadre du recours en réforme, une interprétation arbitraire voire tendancieuse des faits établis au cours de la procédure constitue une violation du droit". Forte de cette conviction, elle critique ainsi longuement, comme étant tendancieuses et procédant d'une interprétation arbitraire des pièces produites, diverses constatations de fait de l'autorité cantonale, plus précisément les constatations suivantes : celles relatives au nombre de membres de la défenderesse; celles relatives au courrier adressé le 11 novembre 1999 par la défenderesse aux médecins-dentistes exerçant en Suisse; enfin, celles relatives aux dénominations - emploi du nom complet allemand ou français, ou encore de la seule abréviation SSO - utilisées dans divers contextes par la demanderesse elle-même ou par des tiers à propos de celle-ci.</w:t>
      </w:r>
    </w:p>
    <w:p>
      <w:r>
        <w:rPr>
          <w:b/>
        </w:rPr>
        <w:t>E. 3.2</w:t>
      </w:r>
    </w:p>
    <w:p>
      <w:r>
        <w:t>Saisi d'un recours en réforme, le Tribunal fédéral doit conduire son raisonnement sur la base des faits contenus dans la décision attaquée, à moins que des dispositions fédérales en matière de preuve 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 119 II 353 consid. 5c/aa). Dans la mesure où un recourant présente un état de fait qui s'écarte de celui contenu dans l'arrêt attaqué sans se prévaloir avec précision de l'une des exceptions qui viennent d'être rappelées, il n'est pas possible d'en tenir compte ( ATF 127 III 248 consid. 2c). Au surplus, il ne peut être présenté dans un recours en réforme de griefs contre les constatations de fait, ni de faits nouveaux ( art. 55 al. 1 let . c OJ). L'appréciation des preuves à laquelle s'est livrée l'autorité cantonale ne peut ainsi être remise en cause en instance de réforme ( ATF 129 III 618 consid. 3; 126 III 189 consid. 2a; 125 III 78 consid. 3a), au contraire de l'appréciation juridique de faits retenus, laquelle n'est rien d'autre que l'application du droit à ces faits (cf. Poudret, Commentaire de la loi fédérale d'organisation judiciaire, vol. II, 1990, n. 5 ad art. 43 OJ ).</w:t>
      </w:r>
    </w:p>
    <w:p>
      <w:r>
        <w:rPr>
          <w:b/>
        </w:rPr>
        <w:t>E. 3.3</w:t>
      </w:r>
    </w:p>
    <w:p>
      <w:r>
        <w:t>En l'espèce, la défenderesse, en se plaignant d'une interprétation arbitraire et tendancieuse des pièces produites, cherche largement à remettre en cause l'appréciation des preuves à laquelle ont procédé les juges cantonaux pour établir l'état de fait retenu. Elle est par ailleurs loin de démontrer avec précision en quoi, sur des faits déterminés, les juges cantonaux auraient, comme elle l'affirme, "violé le droit fédéral en ne tenant pas compte des faits invoqués de manière régulière et pertinente par la recourante". Dès lors, le Tribunal fédéral s'en tiendra, dans l'examen de la cause, aux faits retenus par la cour cantonale, dont il revoit par ailleurs librement l'appréciation juridique (cf. consid. 3.2 supra).</w:t>
      </w:r>
    </w:p>
    <w:p>
      <w:r>
        <w:rPr>
          <w:b/>
        </w:rPr>
        <w:t>E. 4.1</w:t>
      </w:r>
    </w:p>
    <w:p>
      <w:r>
        <w:t>Dans la partie de son mémoire de recours intitulée "en droit", la défenderesse reproche à l'autorité cantonale d'avoir violé l' art. 29 al. 2 CC en admettant que l'utilisation du nom "Swiss Dentists' Society" par la défenderesse était propre à créer un risque de confusion avec le nom de la demanderesse en langue allemande, soit "Schweizerische Zahnärzte-Gesellschaft". Il convient dès lors d'examiner ci-après si la cour cantonale a fait une fausse application de l' art. 29 al. 2 CC , et ceci à la lumière des constatations de fait du jugement attaqué ( art. 63 al. 2 OJ ). Dans la mesure où la défenderesse, prétextant que la cour cantonale aurait violé les règles sur l'administration des preuves en interprétant les pièces produites de manière arbitraire et tendancieuse, persiste à argumenter en droit sur la base d'une présentation des faits différente de celle qui ressort du jugement attaqué, son argumentation ne peut qu'être écartée comme irrecevable.</w:t>
      </w:r>
    </w:p>
    <w:p>
      <w:r>
        <w:rPr>
          <w:b/>
        </w:rPr>
        <w:t>E. 4.2</w:t>
      </w:r>
    </w:p>
    <w:p>
      <w:r>
        <w:t>La cour cantonale a correctement exposé les conditions auxquelles une association lésée dans ses intérêts juridiques dignes de protection peut invoquer la protection de l' art. 29 al. 2 CC à l'encontre d'une autre association qui crée un risque de confusion en adoptant ultérieurement un nom semblable (cf. consid. 2.1 supra). La défenderesse ne prétend d'ailleurs pas le contraire, mais soutient qu'il ne peut pas y avoir de risque de confusion en l'espèce.</w:t>
      </w:r>
    </w:p>
    <w:p>
      <w:r>
        <w:rPr>
          <w:b/>
        </w:rPr>
        <w:t>E. 4.3</w:t>
      </w:r>
    </w:p>
    <w:p>
      <w:r>
        <w:t>La notion de risque de confusion, qui est identique pour tout le domaine des signes distinctifs, est une notion de droit que le Tribunal fédéral apprécie librement, du moins dans la mesure où il s'agit, comme en l'espèce, d'évaluer l'impact de l'utilisation contestée sur le public en général, et non sur un cercle de personnes disposant de connaissances spécifiques dans un secteur particulier ( ATF 128 III 353 consid. 4 p. 359, 401 consid. 5 in fine et les arrêts cités). Il n'est pas nécessaire, pour admettre un risque de confusion, que des confusions se soient effectivement produites ( ATF 128 III 353 consid. 4 p. 358; 116 II 463 consid. 3b; 102 II 161 consid. 4a p. 168).</w:t>
      </w:r>
    </w:p>
    <w:p>
      <w:r>
        <w:rPr>
          <w:b/>
        </w:rPr>
        <w:t>E. 4.4</w:t>
      </w:r>
    </w:p>
    <w:p>
      <w:r>
        <w:t>En l'espèce, il a été retenu en fait, d'une manière qui lie le Tribunal fédéral ( art. 63 al. 2 OJ ), que la demanderesse, dont le siège est à Berne et qui compte plus de 4500 membres, est la plus ancienne et la plus importante association suisse de médecins-dentistes. Les courriers en allemand lui sont généralement adressés sous son nom complet en allemand, soit "Schweizerische Zahnärzte-Gesellschaft", occasionnellement suivi du sigle "SSO". Dans les journaux alémaniques, elle est désignée par son nom en allemand, suivi de "SSO" entre parenthèses (cf. lettres A et C supra). Dans ces conditions, on ne discerne pas de violation du droit fédéral à considérer que l'éventuel risque de confusion créé par l'usage du nom "Swiss Dentists' Society (SDS)", adopté en décembre 2001 par la défenderesse, doive être apprécié en particulier par rapport au nom "Schweizerische Zahnärzte-Gesellschaft", qui est étroitement rattaché à la demanderesse pour une large partie du public. Le fait que la demanderesse soit aussi souvent désignée par son sigle SSO, seul ou avec son nom complet, et logiquement par son nom français dans les textes en langue française, n'y change rien, comme la cour cantonale l'a exposé à bon droit. Or il ne saurait être contesté que le nom "Swiss Dentists' Society" est la traduction littérale du nom "Schweizerische Zahnärzte-Gesellschaft" dont la protection est sollicitée. En effet, le Langenscheidts Enzyklopädisches Wörterbuch der Englischen und Deutschen Sprache traduit "schweizerisch" exclusivement par "Swiss", "Zahnarzt" uniquement par "dentist" (ou, dans le sens plus restreint de "Zahnchirurg", par "dental surgeon"), et "Gesellschaft" (dans le sens visé ici) uniquement par "society". Cela étant, force est d'admettre que, comme tant la défenderesse que la demanderesse tendent à être présentes également sur le plan international - où l'anglais, en particulier dans les domaines médicaux et scientifiques, est souvent utilisé comme langue véhiculaire -, l'usage du nom "Swiss Dentists' Society" est objectivement propre à créer un risque de confusion avec le nom de la demanderesse dans sa version allemande, qui comme on l'a vu est étroitement lié à la demanderesse lors même que celle-ci n'est pas seulement désignée par son nom complet en langue allemande. Comme il n'est pas nécessaire que des confusions se soient effectivement produites, peu importent la manière et les circonstances dans lesquelles la défenderesse prétend, dans son recours, que la demanderesse a été approchée par la société étrangère Allseas.</w:t>
      </w:r>
    </w:p>
    <w:p>
      <w:r>
        <w:rPr>
          <w:b/>
        </w:rPr>
        <w:t>E. 5</w:t>
      </w:r>
    </w:p>
    <w:p>
      <w:r>
        <w:t>Il résulte de ce qui précède que le recours ne peut qu'être rejeté dans la mesure où il est recevable. Partant, la défenderesse, qui succombe, supportera les frais judiciaires ( art. 156 al. 1 OJ ). Il n'y a en revanche pas lieu d'allouer des dépens, le Tribunal fédéral n'ayant pas demandé de réponse à la demanderesse, à laquelle cette procédure n'a ainsi pas occasionné de frais indispensables (cf.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