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5C.76/2001 vom 20. Juli 2001</w:t>
      </w:r>
    </w:p>
    <w:p>
      <w:r>
        <w:t>Bundesgericht, 2001-07-20, DE</w:t>
      </w:r>
    </w:p>
    <w:p>
      <w:r>
        <w:rPr>
          <w:b/>
        </w:rPr>
        <w:t xml:space="preserve">Quelle: </w:t>
      </w:r>
      <w:r>
        <w:t>https://mcp.opencaselaw.ch/entscheid/bger_5C.76_2001</w:t>
      </w:r>
    </w:p>
    <w:p>
      <w:r>
        <w:t>FR: TF 5C.76/2001 du 20 juillet 2001</w:t>
      </w:r>
    </w:p>
    <w:p>
      <w:r>
        <w:t>IT: TF 5C.76/2001 del 20 luglio 2001</w:t>
      </w:r>
    </w:p>
    <w:p>
      <w:pPr>
        <w:pStyle w:val="Heading2"/>
      </w:pPr>
      <w:r>
        <w:t>Regeste</w:t>
      </w:r>
    </w:p>
    <w:p>
      <w:r>
        <w:t>Familienrecht</w:t>
      </w:r>
    </w:p>
    <w:p>
      <w:pPr>
        <w:pStyle w:val="Heading2"/>
      </w:pPr>
      <w:r>
        <w:t>Erwägungen</w:t>
      </w:r>
    </w:p>
    <w:p>
      <w:r>
        <w:rPr>
          <w:b/>
        </w:rPr>
        <w:t>E. 1</w:t>
      </w:r>
    </w:p>
    <w:p>
      <w:r>
        <w:t>Der Beklagte begründet seinen Nichteintretensantrag damit, der Rückweisungsantrag der Klägerin genüge nicht; ihr Eventualantrag dürfe nicht beachtet werden, weil dafür jede Begründung fehle ( Art. 55 Abs. 1 lit. c OG ; BGE 116 II 745 E. 3 S. 749). Der Beklagte übersieht dabei, dass sogar ein blosser Rückweisungsantrag dann genügt, wenn sich die Rechtsauffassung der Klägerin als zutreffend erweisen sollte und das Bundesgericht in der Sache nicht selbst entscheiden könnte ( BGE 106 II 201 E. 1 S. 203; 104 II 209 E. 1 S. 211). Das ist der Fall, wenn die Sache zu weiterer Abklärung tatsächlicher Umstände an die Vorinstanz zurückgewiesen werden muss. Denn das Bundesgericht kann den Sachverhalt - von eng definierten Ausnahmen abgesehen ( Art. 55 Abs. 1 lit. d, Art. 63 Abs. 2 und Art. 64 OG ; BGE 122 III 61 E. 2b; 119 II 353 E. 5c/aa S. 357; 115 II 484 E. 2a) - nicht selber ermitteln und muss auf Grund der vorinstanzlichen Tatsachenfeststellungen entscheiden ( Art. 63 Abs. 2 OG ).</w:t>
      </w:r>
    </w:p>
    <w:p>
      <w:r>
        <w:rPr>
          <w:b/>
        </w:rPr>
        <w:t>E. 2</w:t>
      </w:r>
    </w:p>
    <w:p>
      <w:r>
        <w:t>Die Klägerin bringt gegen das Urteil des Obergerichts, worin gemäss Art. 61 Abs. 2 IPRG (SR 291) deutsches Scheidungsrecht angewendet worden ist ( BGE 118 II 79 E. 2), keine Berufungsgründe im Sinne von Art. 43a OG vor. Sie erblickt aber einen Verstoss gegen das anwendbare schweizerische Verfahrensrecht und eine Verletzung von Art. 138 Abs. 1 ZGB im Umstand, dass die Vorinstanz entgegen dieser Vorschrift gestützt auf § 267 Abs. 1 ZPO /OW keine neuen Beweise zu ihrer eingeschränkten Erwerbsfähigkeit abgenommen habe. Sie habe der ersten Instanz ein Arztzeugnis eingereicht, nach dem sie ihre Erwerbstätigkeit von heute 75 % auf dereinst 60 % reduzieren müsse. Weil dies vom Kantonsgericht als unglaubwürdig betrachtet worden sei, habe sie zweitinstanzlich erfolglos die Einvernahme des Arztes und die Einholung einer Expertise verlangt. a) Der schweizerische Richter muss auch in Fällen, in denen nach materiellem Recht des Auslands zu entscheiden ist ( Art. 1 Abs. 1 lit. b IPRG ), grundsätzlich schweizerisches Verfahrensrecht anwenden (lex fori; G. Walter, Internationales Zivilprozessrecht der Schweiz, 2. Aufl. 1998, S. 53 f.; I. Meier, Internationales Zivilprozessrecht, S. 33; H. U. Walder, Einführung in das internationale Zivilprozessrecht der Schweiz, S. 29). Mit Rücksicht auf die existentielle Bedeutung, die eine Scheidung in wirtschaftlicher Hinsicht für die Ehegatten hat, stellt Art. 138 Abs. 1 ZGB in prozessrechtlicher Hinsicht sicher, dass im Bereich des Ehegüterrechts und des Ehegattenunterhalts der zweiten Instanz echte und unechte Noven vorgebracht werden können; insoweit ist der kantonale Gesetzgeber in seiner verfahrensrechtlichen Gesetzgebungsfreiheit eingeschränkt. Art. 138 Abs. 1 ZGB sichert einen bundesrechtlichen Minimalstandard und verbietet dem kantonalen Gesetzgeber nicht, Formvorschriften aufzustellen und vorzuschreiben, dass Noven in zweiter Instanz nur bis zu einem bestimmten Zeitpunkt vorgebracht werden dürfen (Sutter/Freiburghaus, Kommentar zum neuen Scheidungsrecht, N 1 und 5 ff., 9 ff., 15 ff. und 19 zu Art. 138 ZGB ; M. Leuenberger, in: Praxiskommentar Scheidungsrecht, I. Schwenzer [Herausg. ], N 1 bis 4 und 6 f. zu Art. 138 ZGB ). b) Indem das Obergericht gestützt auf das kantonalrechtliche Novenverbot ( § 267 Abs. 1 ZPO /OW) die Abnahme weiterer Beweise grundsätzlich verweigert hat, ist es über Art. 138 Abs. 1 ZGB hinweg geschritten. Der Beklagte meint zu Unrecht, diese Bestimmung sei mit Rücksicht auf den Grundsatz der lex fori hier nicht anwendbar, weil wegen des internationalen Verhältnisses ausschliesslich kantonales Prozessrecht gelte. Denn er verkennt, dass zum Verfahrensrecht auch entsprechende Vorschriften des Bundes gehören, die dem kantonalen Recht generell vorgehen ( Art. 49 Abs. 1 BV ). Somit ist das angefochtene Urteil aufzuheben und die Sache zu neuer Entscheidung an die Vorinstanz zurückzuweisen, damit diese die Beweisanträge der Klägerin prüfen kann. Bei diesem Ergebnis braucht zum Eventualantrag der Klägerin, der von entsprechenden Sachverhaltsfeststellungen zu ihrer Arbeitsfähigkeit abhängt, nicht Stellung bezogen zu werden.</w:t>
      </w:r>
    </w:p>
    <w:p>
      <w:r>
        <w:rPr>
          <w:b/>
        </w:rPr>
        <w:t>E. 3</w:t>
      </w:r>
    </w:p>
    <w:p>
      <w:r>
        <w:t>Dringt die Berufung durch und ist der angefochtene Entscheid aufzuheben, kann die Vorinstanz die von der Klägerin verlangten Änderungen an den Kostenfolgen des kantonalen Verfahrens selbst vornehmen, fällt doch das angefochtene Urteil auch insoweit weg ( Art. 157 OG ; vgl. BGE 91 II 146 E. 3 S. 150). Gewiss muss die Sache zurückgewiesen werden, weil das Obergericht einen Verfahrensfehler begangen hat. Der Beklagte hat im Berufungsverfahren jedoch eigene Anträge gestellt und ist damit nicht durchgedrungen; er muss deshalb - auch mit Bezug auf die Kostenpflicht - als unterliegend gelten. Da die Klägerin vor dem Bundesgericht obsiegt, ist die Gerichtsgebühr vom Beklagten zu tragen ( Art. 156 Abs. 1 OG ). Dieser hat der Klägerin überdies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