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5C.74/2002 vom 7. Mai 2002</w:t>
      </w:r>
    </w:p>
    <w:p>
      <w:r>
        <w:t>Bundesgericht, 2002-05-07, FR</w:t>
      </w:r>
    </w:p>
    <w:p>
      <w:r>
        <w:rPr>
          <w:b/>
        </w:rPr>
        <w:t xml:space="preserve">Quelle: </w:t>
      </w:r>
      <w:r>
        <w:t>https://mcp.opencaselaw.ch/entscheid/bger_5C.74_2002</w:t>
      </w:r>
    </w:p>
    <w:p>
      <w:r>
        <w:t>FR: TF 5C.74/2002 du 7 mai 2002</w:t>
      </w:r>
    </w:p>
    <w:p>
      <w:r>
        <w:t>IT: TF 5C.74/2002 del 7 maggio 2002</w:t>
      </w:r>
    </w:p>
    <w:p>
      <w:pPr>
        <w:pStyle w:val="Heading2"/>
      </w:pPr>
      <w:r>
        <w:t>Regeste</w:t>
      </w:r>
    </w:p>
    <w:p>
      <w:r>
        <w:t>Droit des contrats</w:t>
      </w:r>
    </w:p>
    <w:p>
      <w:pPr>
        <w:pStyle w:val="Heading2"/>
      </w:pPr>
      <w:r>
        <w:t>Erwägungen</w:t>
      </w:r>
    </w:p>
    <w:p>
      <w:r>
        <w:rPr>
          <w:b/>
        </w:rPr>
        <w:t>E. 1</w:t>
      </w:r>
    </w:p>
    <w:p>
      <w:r>
        <w:t>Statuant sur des prétentions déduites d'une assurance privée soumise à la loi fédérale sur le contrat d'assurance, le jugement attaqué tranche une contestation civile portant sur des droits de nature pécuniaire au sens de l' art. 46 OJ . Contrairement à ce que prescrit l' art. 51 al. 1 let. a OJ , le jugement attaqué ne constate pas si la valeur litigieuse exigée par l' art. 46 OJ est atteinte. Cette omission n'affecte toutefois pas la recevabilité du recours; en effet, le demandeur a mentionné dans son recours, conformément à l' art. 55 al. 1 let. a OJ , que la valeur litigieuse était atteinte, et il résulte d'emblée et avec certitude des pièces du dossier que cette valeur - qui, contrairement à ce que paraît penser le demandeur, se détermine d'après les droits contestés dans la dernière instance cantonale ( art. 46 OJ ), et non d'après le montant qui reste litigieux devant l'instance fédérale - dépasse 8'000 fr. ( ATF 109 II 491 consid. 1c/ee; 90 IV 267 consid. 1; 87 II 113 consid. 1; 83 II 245 consid. 2; 82 II 592 ; 82 III 94 ; 81 II 309 ; 79 III 172 ). Formé en temps utile contre une décision finale qui a été prise par un tribunal suprême d'un canton et qui ne peut pas être l'objet d'un recours ordinaire de droit cantonal, le recours en réforme est donc recevable au regard des art. 46, 48 al. 1 et 54 al. 1 OJ.</w:t>
      </w:r>
    </w:p>
    <w:p>
      <w:r>
        <w:rPr>
          <w:b/>
        </w:rPr>
        <w:t>E. 2</w:t>
      </w:r>
    </w:p>
    <w:p>
      <w:r>
        <w:t>Maintien de la couverture En cas d'extinction de la couverture d'assurance selon chiffre 1 litt. a ou b, l'assuré a le droit de continuer de bénéficier de la couverture d'assurance à titre d'assurance individuelle (art. 17 CGA).</w:t>
      </w:r>
    </w:p>
    <w:p>
      <w:r>
        <w:rPr>
          <w:b/>
        </w:rPr>
        <w:t>E. 3</w:t>
      </w:r>
    </w:p>
    <w:p>
      <w:r>
        <w:t>Prolongation de la couverture Si, à l'extinction resp. à la suspension du contrat ou à la sortie du cercle des personnes assurées, un assuré a déjà droit à des prestations d'assurance, celles-ci continueront à lui être versées jusqu'à l'expiration de la durée convenue dans le contrat, mais au plus tard jusqu'à la naissance du droit à une rente selon la LPP (Loi fédérale du 25 juin 1982 sur la prévoyance professionnelle vieillesse, survivants et invalidité).</w:t>
      </w:r>
    </w:p>
    <w:p>
      <w:r>
        <w:rPr>
          <w:b/>
        </w:rPr>
        <w:t>E. 4</w:t>
      </w:r>
    </w:p>
    <w:p>
      <w:r>
        <w:t>Les prétentions du demandeur tendant à la répétition des primes de l'assurance individuelle prétendument payées à tort pour la période du 1er novembre 1999 au 31 juillet 2000 sont dénuées de fondement, puisque, contrairement à ce qu'affirme le demandeur, le contrat d'assurance individuelle conclu en novembre 1999 n'est pas nul au regard de l' art. 9 LCA . En effet, comme on l'a vu, l'art. 4 chiffre 2 des conditions générales d'assurance jointes à la police du 19 novembre 1999 prévoit que les maladies ou infirmités qui entraînaient déjà une incapacité de travail au début du contrat restent exclues de l'assurance jusqu'au retour à la pleine capacité de travail (cf. consid. 2b supra). Ainsi, l'assurance en question ne pouvait viser que les sinistres futurs, de sorte qu'elle est parfaitement valable au regard de l' art. 9 LCA .</w:t>
      </w:r>
    </w:p>
    <w:p>
      <w:r>
        <w:rPr>
          <w:b/>
        </w:rPr>
        <w:t>E. 5</w:t>
      </w:r>
    </w:p>
    <w:p>
      <w:r>
        <w:t>En définitive, la motivation du jugement attaqué s'avère erronée en ce sens que le demandeur a droit à des indemnités journalières sur la base du contrat d'assurance collective conclu par son ancien employeur, et non, comme l'a retenu à tort l'autorité cantonale, en vertu du contrat d'assurance individuelle conclu en novembre 1999 (cf. consid. 2 supra). Le demandeur ne prétend toutefois pas que le montant des indemnités journalières selon le contrat collectif - correspondant à 80% du salaire déterminant, lequel n'est pas indiqué dans le jugement attaqué - serait plus élevé que le montant de 132 fr. pris en compte par la cour cantonale. Dans son résultat, le jugement attaqué doit ainsi être confirmé.</w:t>
      </w:r>
    </w:p>
    <w:p>
      <w:r>
        <w:rPr>
          <w:b/>
        </w:rPr>
        <w:t>E. 6</w:t>
      </w:r>
    </w:p>
    <w:p>
      <w:r>
        <w:t>En définitive, le recours doit être rejeté et le jugement entrepris confirmé. Le recourant,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