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5C.70/2000 vom 17. Juli 2000</w:t>
      </w:r>
    </w:p>
    <w:p>
      <w:r>
        <w:t>Bundesgericht, 2000-07-17, IT</w:t>
      </w:r>
    </w:p>
    <w:p>
      <w:r>
        <w:rPr>
          <w:b/>
        </w:rPr>
        <w:t xml:space="preserve">Quelle: </w:t>
      </w:r>
      <w:r>
        <w:t>https://mcp.opencaselaw.ch/entscheid/bger_5C.70_2000</w:t>
      </w:r>
    </w:p>
    <w:p>
      <w:r>
        <w:t>FR: TF 5C.70/2000 du 17 juillet 2000</w:t>
      </w:r>
    </w:p>
    <w:p>
      <w:r>
        <w:t>IT: TF 5C.70/2000 del 17 luglio 2000</w:t>
      </w:r>
    </w:p>
    <w:p>
      <w:pPr>
        <w:pStyle w:val="Heading2"/>
      </w:pPr>
      <w:r>
        <w:t>Regeste</w:t>
      </w:r>
    </w:p>
    <w:p>
      <w:r>
        <w:t>Diritto successorio</w:t>
      </w:r>
    </w:p>
    <w:p>
      <w:pPr>
        <w:pStyle w:val="Heading2"/>
      </w:pPr>
      <w:r>
        <w:t>Erwägungen</w:t>
      </w:r>
    </w:p>
    <w:p>
      <w:r>
        <w:rPr>
          <w:b/>
        </w:rPr>
        <w:t>E. 1</w:t>
      </w:r>
    </w:p>
    <w:p>
      <w:r>
        <w:t>Interposto in tempo utile ( art. 54 cpv. 1 OG ) contro una decisione finale dell'ultima istanza cantonale in una contestazione civile, il ricorso per riforma è per principio ricevibile, atteso altresì che il valore litigioso è ampiamente dato ( art. 46 OG ).</w:t>
      </w:r>
    </w:p>
    <w:p>
      <w:r>
        <w:rPr>
          <w:b/>
        </w:rPr>
        <w:t>E. 2</w:t>
      </w:r>
    </w:p>
    <w:p>
      <w:r>
        <w:t>In concreto è contestata l'autenticità del testamento olografo di data 21 gennaio 1991. L'originale è oramai introvabile, essendo stato rubato presso lo studio del notaio, che ne ha curato la pubblicazione. Esiste nondimeno una fotocopia di quel testamento allegata al rogito di pubblicazione davanti al Pretore. Non vi sono quindi, nella fattispecie, problemi di sorta a stabilire esattamente e integralmente il tenore dell'originale. La fotocopia autentica, come d'altra parte ammesso dai giudici cantonali, nulla dice però sull'autenticità del documento originale. Il testamento olografo è e rimane pertanto un documento privato.</w:t>
      </w:r>
    </w:p>
    <w:p>
      <w:r>
        <w:rPr>
          <w:b/>
        </w:rPr>
        <w:t>E. 3</w:t>
      </w:r>
    </w:p>
    <w:p>
      <w:r>
        <w:t>a) Gli attori rimproverano all'istanza cantonale di aver ripartito l'onere della prova in aperto contrasto con l' art. 8 CC e gli art. 519 segg. CC. La falsificazione di un documento non rientra nelle fattispecie previste dagli art. 519 segg. CC. Si tratta infatti di un caso di inefficacia del testamento, che vien fatta valere mediante azione di accertamento e che non può essere messa sullo stesso livello dell'incapacità di discernimento del testatore, come invece hanno fatto i giudici cantonali. Ne segue che, sempre secondo gli attori, l'onere della prova dell'autenticità del testamento incombeva e incombe a chi dal testamento deriva dei diritti, e ciò secondo l' art. 8 CC . b) La prova dell'esistenza di un atto di disposizione a causa di morte incombe a chi da tale atto intende dedurre dei diritti; la prova dell'inefficacia dell'atto spetta invece a chi di tale inefficacia si prevale (Piotet, Traité de Droit Privé Suisse, vol. IV, pag. 245; Tuor, Commento bernese, n. 13 ad art. 519 CC ; Escher, Commento zurighese, n. 9 ad art. 519 CC ; Forni/Piatti, Commento basilese, n. 27 ad art. 519/520 CC). aa) Nell'ambito della prova dell'inefficacia dell' atto di ultima volontà, segnatamente nel concreto caso del testamento olografo, non ricade la prova della sua autenticità: l'atto falso non può infatti contenere la reale volontà del de cuius e come testamento non esiste (Piotet, op. cit. , pag. 245 i.f.; Forni/Piatti, op. cit. , n. 3 ad art. 519/520). Su questo punto possono quindi essere seguiti gli attori, secondo i quali l'eccezione di falso sollevata nei confronti di un atto di ultima volontà non ricade nei vizi previsti dagli art. 519 segg. CC. Di massima, si può quindi ammettere che l'autenticità di un documento, di cui ci si intende prevalere in causa, rientra nella sfera di esistenza del documento stesso: chi intende addurla deve pertanto apportare le prove necessarie. In tema di autenticità di documenti giova ancora rilevare che la dottrina, pur ammettendo di principio l'onere della prova di colui che intende prevalersi degli stessi (Piotet, op. cit. , pag. 245; Guldener, Schweizerisches Zivilprozessrecht, § 38 I n. 3, pag. 333; Schmid, Commento basilese, n. 21 ad art. 9 CC ; Frank/Streuli/Messmer, Kommentar zur zürcherichen ZPO, n. 1 a § 187; cfr. anche Leuch/Marbach/Kellerhals/Sterchi, Die Zivilprozessordnung für den Kanton Bern, n. 2 ad art. 232), istituisce a favore di documenti formalmente e apparentemente corretti una presunzione di fatto in punto alla loro autenticità (Kummer, Commento bernese, n. 39 i.f. ad art. 9 CC ; Schmid, loc. cit. ; Vogel, Grundriss des Zivilprozessrechts, 5a ed., n. 112 al cap. 10, pag. 265). bb) La presunzione di fatto non tocca, per principio, l'onere della prova, ma facilita solo l'assunzione delle prove stesse ( DTF 120 II 248 consid. 2c, pag. 250, 117 II 256 consid. 2b e riferimenti; Poudret, Commentaire de la loi fédérale d'organisation judiciaire, n. 4.3.3 ad art. 43 OG , pag. 165); essa consente di considerare siccome esistenti determinati fatti che secondo l'esperienza generale della vita e il corso ordinario delle cose il giudice non ha motivo di escludere (Poudret, loc. cit. ; Kummer, Commento bernese, n. 362 seg. ad art. 8 CC ). Di fronte a un testamento che adempie le forme e i requisiti previsti dalla legge, il giudice ben può presumere che lo stesso sia autentico. Tale presunzione non è però irrefragabile e la controparte può portare prove o elementi contrari atti a far sorgere dei dubbi nel giudice sull'autenticità del documento che, anche se non portano alla prova del contrario, lo inducono nondimeno a dubitare dell'autenticità del documento con la conseguenza che la presunzione di fatto decade e l'onere della prova viene ripristinato a carico di chi del documento vuole prevalersi (Kummer, Commento bernese, n. 107 e 363 ad art. 8 CC ; Poudret, op. cit. , n. 4.3.3 i.f. ad art. 43 OG ).</w:t>
      </w:r>
    </w:p>
    <w:p>
      <w:r>
        <w:rPr>
          <w:b/>
        </w:rPr>
        <w:t>E. 4</w:t>
      </w:r>
    </w:p>
    <w:p>
      <w:r>
        <w:t>a) Gli attori lamentano, come già osservato, una ripartizione dell'onere della prova in violazione dell' art. 8 CC , il quale prevede che chi vuol dedurre il suo diritto da una circostanza di fatto da lui asserita, deve fornirne la prova. b) Sennonché, in tema di autenticità di documenti, l' art. 8 CC non può trovare applicazione, perché il tema della contestazione non si riferisce a un diritto che una parte fa valere, ma a un dato di fatto: la falsificazione del documento. Trattandosi di lite sull'esistenza o l'inesistenza di fatti - e non di diritti - l'onere della prova è disciplinato dal diritto processuale, ossia per le procedure che ricadono nella giurisdizione dei Cantoni, dal diritto processuale cantonale (Guldener, Beweiswürdigung und Beweislast nach schweizerischem Zivilprozessrecht, pag. 29 n. 10; Deschenaux, Traité de Droit Privé Suisse, vol. II/1, pag. 260; Kummer, Commento bernese, n. 56 ad art. 8 CC ; Guldener, Schweizerisches Zivilprozessrecht, § 38 I n. 3, pag. 333). Diversi codici di procedura civile cantonali disciplinano l'onere probatorio in caso di eccezione di falsità di documenti o di contestazione della loro autenticità; il Codice civile del Canton Berna prevede ad esempio che nel caso in cui l'autenticità di un documento sia contestata con argomenti apparentemente pertinenti viene ordinata un' istruzione probatoria: l'onere della prova spetta a chi si prevale del documento per i documenti privati e all'eccipiente se trattasi di documenti pubblici ( art. 232 CPC bernese); nel Canton Zurigo l'onere della prova spetta a chi si prevale del documento a meno che l'autenticità non sia presunta (Frank/Streuli/Messmer, loc. cit.). Nel Canton Ticino sembrerebbe che nel caso di eccezione di falso, l'onere della prova spetti a chi si prevale del documento per i documenti privati e all'eccipiente per i documenti pubblici ( art. 220 cpv. 2 e 221 CPC ticinese). Ad ogni buon conto, l'onere probatorio in caso di lite sull'autenticità di un documento nell'ambito di una procedura giudiziaria è, di regola, disciplinato dal diritto processuale cantonale. c) Orbene, nella fattispecie, i giudici cantonali hanno deciso l'onere della prova in punto all'autenticità del testamento fondandosi sul diritto federale e segnatamente sulle disposizioni che reggono l'inefficacia delle disposizioni di ultima volontà ai sensi degli art. 519 segg. CC; ciò che come si è visto in precedenza, non è corretto, perché l'autenticità del testamento costituisce la premessa della sua esistenza e quindi non ricade tra i motivi previsti da quelle disposizioni (Piotet, op. cit. , pag. 245; Forni/Piatti, op. cit. , n. 3 ad art. 519/520 CC). L'onere della prova andava invece in concreto giudicato sulla base del diritto processuale cantonale. Il Tribunale d'appello statuendo sulla base del Codice civile svizzero ha quindi violato il diritto federale e la censura va giustamente proposta con il ricorso per riforma ( DTF 123 III 454 consid. 2b; Poudret, op. cit. , n. 1.6.1 ad art. 43 OG ; Messmer/Imboden, Die eidgenössischen Rechtsmittel in Zivilsachen, n. 74, pag. 104). Non spetta evidentemente al Tribunale federale quale giurisdizione per riforma applicare in concreto il diritto cantonale. La decisione impugnata va quindi annullata e gli atti rinviati all'autorità cantonale per nuovo giudizio ai sensi dei considerandi.</w:t>
      </w:r>
    </w:p>
    <w:p>
      <w:r>
        <w:rPr>
          <w:b/>
        </w:rPr>
        <w:t>E. 5</w:t>
      </w:r>
    </w:p>
    <w:p>
      <w:r>
        <w:t>Da quanto precede discende che il ricorso s'avvera fondato e va accolto. La tassa di giustizia e le ripetibili seguono la soccombenza (art. 156 cpv. 1 e 159 cpv.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