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5C.6/2000 vom 6. April 2000</w:t>
      </w:r>
    </w:p>
    <w:p>
      <w:r>
        <w:t>Bundesgericht, 2000-04-06, FR</w:t>
      </w:r>
    </w:p>
    <w:p>
      <w:r>
        <w:rPr>
          <w:b/>
        </w:rPr>
        <w:t xml:space="preserve">Quelle: </w:t>
      </w:r>
      <w:r>
        <w:t>https://mcp.opencaselaw.ch/entscheid/bger_5C.6_2000</w:t>
      </w:r>
    </w:p>
    <w:p>
      <w:r>
        <w:t>FR: TF 5C.6/2000 du 6 avril 2000</w:t>
      </w:r>
    </w:p>
    <w:p>
      <w:r>
        <w:t>IT: TF 5C.6/2000 del 6 aprile 2000</w:t>
      </w:r>
    </w:p>
    <w:p>
      <w:pPr>
        <w:pStyle w:val="Heading2"/>
      </w:pPr>
      <w:r>
        <w:t>Regeste</w:t>
      </w:r>
    </w:p>
    <w:p>
      <w:r>
        <w:t>Droit de la famille</w:t>
      </w:r>
    </w:p>
    <w:p>
      <w:pPr>
        <w:pStyle w:val="Heading2"/>
      </w:pPr>
      <w:r>
        <w:t>Erwägungen</w:t>
      </w:r>
    </w:p>
    <w:p>
      <w:r>
        <w:rPr>
          <w:b/>
        </w:rPr>
        <w:t>E. 1</w:t>
      </w:r>
    </w:p>
    <w:p>
      <w:r>
        <w:t>a) Le recours en réforme est recevable, sous l'angle de l' art. 44 OJ , quant à l'attribution de la garde et de l'autorité parentale sur les deux enfants ainsi que - par attraction - au sujet des contributions d'entretien en faveur de ceux-ci (J.-F. Poudret, Commentaire de la loi fédérale d'organisation judiciaire, n. 1.4 ad art. 44 OJ ). Déposé en temps utile contre une décision finale prise en dernière instance cantonale, il est également recevable sous l'angle des art. 54 al. 1 et 48 al. 1 OJ. b) Les dépens des instances cantonales ne sont pas réglés par le droit fédéral. Le recours est donc irrecevable dans la mesure où le recourant cherche à en obtenir (cf. art. 43 al. 1 OJ ). Celui-ci entend sans doute son chef de conclusions comme une conséquence de l'admission du recours (cf. art. 159 al. 6 OJ ). c) Saisi d'un recours en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Il ne peut être présenté de griefs contre les constatations de fait ( art. 55 al. 1 let . c OJ), ni contre l'appréciation des preuves à laquelle s'est livrée l'autorité cantonale ( ATF 122 III 26 consid. 4a/aa p. 32, 61 consid. 2c/bb; 120 II 97 consid. 2b p. 99 et les arrêts cités). Les faits et moyens de preuve nouveaux sont irrecevables, même si la maxime d'office est applicable ( ATF 121 III 436 consid. 5b p. 440; 120 II 229 consid. 1c p. 231; 118 II 12 consid. 3b p. 19). Le recours est par conséquent irrecevable dans la mesure où, notamment dans l'exposé des faits - d'ailleurs superflu au regard des exigences légales ( art. 55 al. 1 let . c, deuxième phrase OJ) -, il s'écarte des constatations de l'arrêt entrepris, les complète ou encore les modifie, sans que l'une des exceptions susmentionnées puisse être invoquée. La demande tendant à ce que le nouveau curateur établisse un rapport sur le déroulement du droit de visite est, pour le même motif, également irrecevable. Lorsque le recourant reproche sur ce point à l'autorité cantonale de n'avoir pas donné suite à cette offre de preuve, son grief concerne l'application du droit cantonal et ressortit dès lors au recours de droit public. d) Le recourant critique les modalités de son droit de visite sans toutefois prendre de conclusions subsidiaires à cet égard. De toute façon, il ne résulte pas de l'arrêt entrepris que ce grief ait été soulevé devant l'autorité cantonale; le défendeur ne le prétend d'ailleurs pas. Il s'agit dès lors d'un moyen nouveau, partant irrecevable pour ce motif déjà ( art. 55 al. 1 let . c OJ). La violation du principe de l'égalité de traitement, auquel le recourant se réfère, relève en outre du recours de droit public.</w:t>
      </w:r>
    </w:p>
    <w:p>
      <w:r>
        <w:rPr>
          <w:b/>
        </w:rPr>
        <w:t>E. 2</w:t>
      </w:r>
    </w:p>
    <w:p>
      <w:r>
        <w:t>Le recourant reproche à l'autorité cantonale d'avoir violé l' art. 157 CC . Il prétend en substance qu'il n'existe aucun fait nouveau pouvant justifier une mesure aussi extrême que la modification de l'attribution de l'autorité parentale et de la garde sur les enfants, solution qui revient à séparer les fillettes de leur demi-soeur et à bouleverser leur existence. a) Selon l' art. 157 CC , le juge prend, à la requête de l'un des parents, les mesures commandées par des faits nouveaux concernant la situation des enfants. La Cour de justice a rappelé correctement les conditions nécessaires à l'admission d'une modification de jugement de divorce (cf. notamment ATF 120 II 177 consid. 3a p. 178). L'autorité cantonale a considéré, de manière à lier la cour de céans, qu'à l'époque où le jugement de divorce avait été rendu, l'intimée souffrait de dépression nerveuse en rapport avec cette procédure. Ses problèmes de santé avaient entraîné son hospitalisation d'octobre 1995 à novembre 1996, suivie d'un traitement ambulatoire. Depuis lors, sa situation personnelle s'était profondément modifiée. En effet, elle n'avait plus besoin de soins et avait pleinement recouvré son équilibre psychologique. La Cour de justice a également retenu qu'elle avait des projets professionnels et qu'elle avait mis en place, pour le cas où les enfants lui seraient confiées, un horaire et une organisation satisfaisante pour leur prise en charge pendant ses heures de travail; il était par ailleurs établi qu'un appartement plus grand pourrait être mis à sa disposition par les services compétents. L'autorité cantonale a par ailleurs constaté que la mère avait su regagner la confiance de ses filles et qu'elle s'était montrée ouverte quant à la poursuite de relations suivies entre celles-ci et leur père ainsi que leur demi-soeur. S'agissant du recourant, il a été retenu qu'il ne présentait plus les qualités qui étaient apparemment les siennes au moment du divorce quant à l'éducation et à la prise en charge des deux enfants. Il s'en était en effet en grande partie remis à son aînée Esperança, qui assumait la plupart des travaux ménagers et s'occupait de ses deux soeurs dans une mesure dépassant de beaucoup ce qui pouvait être raisonnablement imposé à une jeune fille de quinze ans. Le fait qu'il soit à nouveau en instance de divorce ne contribuait pas non plus à assurer un minimum de stabilité familiale, dès lors qu'il était possible qu'Esperança fût en fin de compte confiée à sa mère. De plus, il faisait tout pour entraver les relations entre les fillettes et leur mère, ne cessait de discréditer celle-ci et cherchait à maintenir sur les enfants une emprise très malsaine. Les rapports - concordants dans leurs constatations et leurs conclusions - de la curatrice et du Service de protection de la jeunesse étaient à cet égard éloquents. La Cour de justice en a déduit que seule l'intimée était actuellement apte à assurer aux deux filles une éducation et un équilibre suffisants, tout en respectant l'autre parent et en facilitant les relations personnelles entre ce dernier et les enfants. b) On ne saurait, dans ces circonstances, considérer que l'autorité cantonale a fait une application erronée du droit fédéral en admettant que les conditions d'une modification du jugement de divorce étaient remplies, en ce sens que l'autorité parentale et le droit de garde sur les enfants Hardy et Patricia sont retirés à leur père et transférés à leur mère. C'est en vain que le recourant s'efforce de démontrer qu'il n'est pas garanti que l'intimée respecte le droit de visite, ni qu'elle assure aux enfants une réelle prise en charge éducative et une stabilité relationnelle suffisante. Ce faisant, il critique de manière irrecevable l'appréciation des preuves effectuée par l'autorité cantonale et les constatations de fait de l'arrêt entrepris. Il en va de même lorsqu'il affirme qu'en raison de ses antécédents psychiatriques, et bien qu'elle semble aujourd'hui rétablie, l'intimée pourrait à nouveau rencontrer des problèmes semblables.</w:t>
      </w:r>
    </w:p>
    <w:p>
      <w:r>
        <w:rPr>
          <w:b/>
        </w:rPr>
        <w:t>E. 3</w:t>
      </w:r>
    </w:p>
    <w:p>
      <w:r>
        <w:t>Le recourant soutient encore que l'arrêt déféré viole la Convention de l'ONU sur les droits de l'enfant (RS 0.107), dès lors qu'aucun crédit n'a été accordé à la parole des deux filles et que celles-ci n'ont pas été entendues comme témoins. Il ne précise toutefois même pas à quelle disposition de ce traité il convient de se référer ( art. 55 al. 1 let . c OJ). Quoi qu'il en soit, les enfants ont été entendues par le Service de protection de la jeunesse, qui a mis en doute la spontanéité de leurs déclarations. L'autorité cantonale pouvait dès lors estimer à bon droit qu'elle n'était pas liée par l'avis des enfants.</w:t>
      </w:r>
    </w:p>
    <w:p>
      <w:r>
        <w:rPr>
          <w:b/>
        </w:rPr>
        <w:t>E. 4</w:t>
      </w:r>
    </w:p>
    <w:p>
      <w:r>
        <w:t>En conclusion, le recours apparaît mal fondé et doit être rejeté, en tant qu'il est recevable. Les frais de justice seront donc mis à la charge du recourant ( art. 156 al. 1 OJ ). Vu cette issue - prévisible - de la procédure, sa requête d'assistance judiciaire ne saurait être admise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