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5C.66/2000 vom 28. April 2000</w:t>
      </w:r>
    </w:p>
    <w:p>
      <w:r>
        <w:t>Bundesgericht, 2000-04-28, FR</w:t>
      </w:r>
    </w:p>
    <w:p>
      <w:r>
        <w:rPr>
          <w:b/>
        </w:rPr>
        <w:t xml:space="preserve">Quelle: </w:t>
      </w:r>
      <w:r>
        <w:t>https://mcp.opencaselaw.ch/entscheid/bger_5C.66_2000</w:t>
      </w:r>
    </w:p>
    <w:p>
      <w:r>
        <w:t>FR: TF 5C.66/2000 du 28 avril 2000</w:t>
      </w:r>
    </w:p>
    <w:p>
      <w:r>
        <w:t>IT: TF 5C.66/2000 del 28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22 juillet 1997, M.________ a ouvert, sur la base de l' art. 85a LP , action en annulation de la poursuite n° XXXX de l'Office des poursuites et faillites de Genève, introduite à la réquisition de la Fondation X.________ (la Fondation) et frappée d'opposition totale le 3 juillet précédent.</w:t>
      </w:r>
    </w:p>
    <w:p>
      <w:r>
        <w:t>Par jugement du 23 octobre 1998, le Tribunal de première instance de Genève a rejeté l'action; statuant le 14 janvier 2000 sur appel du demandeur, la Chambre civile de la Cour de justice du canton de Genève a annulé cette décision, constaté que la prétention de la défenderesse est prescrite et ordonné l'annulation de la poursuite en cause.</w:t>
      </w:r>
    </w:p>
    <w:p>
      <w:r>
        <w:t>Agissant par la voie du recours en nullité au Tribunal fédéral, la Fondation conclut à l'annulation de cet arrêt; l'intimé n'a pas été invité à répondre.</w:t>
      </w:r>
    </w:p>
    <w:p>
      <w:r>
        <w:t>La défenderesse a interjeté parallèlement un recours en réforme tendant, en substance, au rejet de la demande.</w:t>
      </w:r>
    </w:p>
    <w:p>
      <w:r>
        <w:rPr>
          <w:b/>
        </w:rPr>
        <w:t>E. 2</w:t>
      </w:r>
    </w:p>
    <w:p>
      <w:r>
        <w:t>a) Le Tribunal fédéral examine d'office et librement la recevabilité du recours dont il est saisi ( ATF 125 III 461 consid. 2 p. 463 et la jurisprudence citée).</w:t>
      </w:r>
    </w:p>
    <w:p>
      <w:r>
        <w:t>b) Le recours en nullité est ouvert dans les affaires civiles qui ne peuvent faire l'objet d'un recours en réforme en vertu des art. 44 à 46 OJ ( art. 68 al. 1 OJ ). En l'espèce, la recourante reproche à la Cour de justice d'avoir, au sujet des actes propres à interrompre la prescription, appliqué le droit étranger - en l'occurrence bolivien - au lieu du droit fédéral ( art. 68 al. 1 let. b OJ ); elle y voit notamment une violation de l' art. 18 LDIP .</w:t>
      </w:r>
    </w:p>
    <w:p>
      <w:r>
        <w:t>La décision rendue en application de l' art. 85a LP est susceptible d'un recours en réforme lorsque - comme dans le cas particulier - la valeur litigieuse est atteinte ( ATF 125 III 149 ; cf. notamment: Luca Tenchio, Feststellungsklagen und Feststellungsprozess nach Art. 85a SchKG, thèse Zurich 1999, p. 178 et les références citées). Le moyen de la recourante pouvant être invoqué à l'appui d'un tel recours (Poudret, COJ II, N 1.6.1 et 1.6.3 ad art. 43, N 1.2 ad art. 43a OJ et les arrêts cités), il s'ensuit que la voie subsidiaire du recours en nullité n'est pas ouverte.</w:t>
      </w:r>
    </w:p>
    <w:p>
      <w:r>
        <w:rPr>
          <w:b/>
        </w:rPr>
        <w:t>E. 3</w:t>
      </w:r>
    </w:p>
    <w:p>
      <w:r>
        <w:t>En conclusion, le présent recours doit être déclaré irrecevable, aux frais de son auteur ( art. 156 al. 1 OJ ). Il n'y a pas lieu d'allouer de dépens à l'intimé, qui n'a pas été invité à répondre.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