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5C.58/2004 vom 14. Juni 2004</w:t>
      </w:r>
    </w:p>
    <w:p>
      <w:r>
        <w:t>Bundesgericht, 2004-06-14, FR</w:t>
      </w:r>
    </w:p>
    <w:p>
      <w:r>
        <w:rPr>
          <w:b/>
        </w:rPr>
        <w:t xml:space="preserve">Quelle: </w:t>
      </w:r>
      <w:r>
        <w:t>https://mcp.opencaselaw.ch/entscheid/bger_5C.58_2004</w:t>
      </w:r>
    </w:p>
    <w:p>
      <w:r>
        <w:t>FR: TF 5C.58/2004 du 14 juin 2004</w:t>
      </w:r>
    </w:p>
    <w:p>
      <w:r>
        <w:t>IT: TF 5C.58/2004 del 14 giugno 2004</w:t>
      </w:r>
    </w:p>
    <w:p>
      <w:pPr>
        <w:pStyle w:val="Heading2"/>
      </w:pPr>
      <w:r>
        <w:t>Regeste</w:t>
      </w:r>
    </w:p>
    <w:p>
      <w:r>
        <w:t>Droit de la famille</w:t>
      </w:r>
    </w:p>
    <w:p>
      <w:pPr>
        <w:pStyle w:val="Heading2"/>
      </w:pPr>
      <w:r>
        <w:t>Erwägungen</w:t>
      </w:r>
    </w:p>
    <w:p>
      <w:r>
        <w:rPr>
          <w:b/>
        </w:rPr>
        <w:t>E. 1.1</w:t>
      </w:r>
    </w:p>
    <w:p>
      <w:r>
        <w:t>Le Tribunal fédéral examine d'office et librement la recevabilité des recours qui lui sont soumis ( ATF 129 I 173 consid. 1 p. 174; 129 II 225 consid. 1 p. 227). Le recours en réforme est recevable contre une décision finale prise par l'autorité suprême du canton en matière de relations personnelles entre parents et enfants ( art. 44 al. 1 let . d, art. 48 al. 1 OJ ). Déposé en temps utile, le présent recours est également recevable sous l'angle de l' art. 59 al. 1 OJ .</w:t>
      </w:r>
    </w:p>
    <w:p>
      <w:r>
        <w:rPr>
          <w:b/>
        </w:rPr>
        <w:t>E. 1.2</w:t>
      </w:r>
    </w:p>
    <w:p>
      <w:r>
        <w:t>Saisi d'un recours en réforme, le Tribunal fédéral fonde son arrêt sur les faits tels qu'ils ont été constatés dans la décision attaquée, à moins que des dispositions fédérales en matière de preuve n'aient été violées, qu'il n'y ait lieu de rectifier des constatations reposant sur une inadvertance manifeste ( art. 63 al. 2 OJ ) ou qu'il ne faille renvoyer la cause à l'autorité cantonale pour compléter les constatations de fait parce que celle-ci n'a pas tenu compte de faits pertinents, en violation de la maxime inquisitoire ( art. 64 al. 1 OJ ; ATF 122 III 404 consid. 3d p. 408). Il ne peut être présenté de grief contre les constatations de fait, ni de faits ou moyens de preuve nouveaux ( art. 55 al. 1 let . c OJ). L'appréciation des preuves à laquelle s'est livrée l'autorité cantonale ne peut être remise en cause ( ATF 126 III 189 consid. 2a p. 191; 125 III 78 consid. 3a p. 79 s.). Dès lors, dans la mesure où, sans pouvoir se prévaloir de l'une des exceptions mentionnées ci-dessus, la recourante remet en cause les constatations cantonales et l'appréciation des preuves faite par la Cour de justice, à savoir que l'intimé n'aurait pas prouvé que sa psychothérapie portait aussi sur ses pulsions sexuelles et qu'il était capable de s'occuper seul de ses enfants, son recours est irrecevable.</w:t>
      </w:r>
    </w:p>
    <w:p>
      <w:r>
        <w:rPr>
          <w:b/>
        </w:rPr>
        <w:t>E. 2</w:t>
      </w:r>
    </w:p>
    <w:p>
      <w:r>
        <w:t>Invoquant une violation des art. 8, 156 et 274 al. 2 CC , la recourante reproche à la cour cantonale d'avoir élargi le droit de visite de l'intimé.</w:t>
      </w:r>
    </w:p>
    <w:p>
      <w:r>
        <w:rPr>
          <w:b/>
        </w:rPr>
        <w:t>E. 2.1.1</w:t>
      </w:r>
    </w:p>
    <w:p>
      <w:r>
        <w:t>D'après l' art. 7a al. 1 Tit. fin. CC , le divorce est régi par le nouveau droit dès l'entrée en vigueur de la loi fédérale du 26 juin 1998, qui est intervenue le 1er janvier 2000. La présente cause est dès lors soumise au nouveau droit et l' art. 156 CC , invoqué par la recourante, est par conséquent abrogé. Toutefois, la jurisprudence et la doctrine relatives à l'al. 1 de cette ancienne disposition correspondent au nouvel art. 145 al. 1 CC qui dispose, au sujet du sort des enfants, que le juge établit d'office les faits et apprécie librement les preuves. Au besoin, il fait appel à des experts et se renseigne auprès de l'autorité tutélaire ou d'un autre service de l'aide à la jeunesse (al. 2).</w:t>
      </w:r>
    </w:p>
    <w:p>
      <w:r>
        <w:rPr>
          <w:b/>
        </w:rPr>
        <w:t>E. 2.1.2</w:t>
      </w:r>
    </w:p>
    <w:p>
      <w:r>
        <w:t>Selon l' art. 273 al. 1 CC , dans sa nouvelle teneur selon la loi fédérale du 26 juin 1998,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 ATF 127 III 295 consid. 4a p. 298; 123 III 445 consid. 3b p. 451). Le rapport de l'enfant avec ses deux parents est essentiel et peut jouer un rôle décisif dans le processus de sa recherche d'identité ( ATF 127 III 295 consid. 4a p. 298; 123 III 445 consid. 3c p. 452; 122 III 404 consid. 3a p. 407 et les références citées). Aux termes de l' art. 274 al. 2 CC ,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Selon la jurisprudence, il existe un danger pour le bien de l'enfant si son développement physique, moral et psychique est menacé par la présence même limitée du parent qui n'a pas l'autorité parentale. Entrent en considération en tant que justes motifs la négligence, les mauvais traitements physiques et psychiques, en particulier les abus sexuels. Conformément au principe de la proportionnalité, il importe en outre que ce danger ne puisse être écarté par d'autres mesures appropriées ( ATF 122 III 404 consid. 3b p. 407 et les références citées). Le retrait de tout droit à des relations personnelles constitue l'ultima ratio et ne peut être ordonné dans l'intérêt de l'enfant que si les effets négatifs des relations personnelles ne peuvent être maintenus dans des limites supportables pour l'enfant ( ATF 122 III 404 consid. 3b p. 407; 120 II 229 consid. 3b/aa p. 233 et les références citées). En revanche,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L'établissement d'un droit de visite surveillé, comme le refus ou le retrait du droit aux relations personnelles selon l' art. 274 al. 2 CC , nécessite des indices concrets de mise en danger du bien de l'enfant. Il ne suffit pas que ce dernier risque abstraitement de subir une mauvaise influence pour qu'un droit de visite surveillé soit instauré ( ATF 122 III 404 consid. 3c p. 408).</w:t>
      </w:r>
    </w:p>
    <w:p>
      <w:r>
        <w:rPr>
          <w:b/>
        </w:rPr>
        <w:t>E. 2.1.3</w:t>
      </w:r>
    </w:p>
    <w:p>
      <w:r>
        <w:t>Le juge du divorce ne doit pas régler les relations personnelles des parents avec leurs enfants de façon temporaire, mais doit le faire, en fonction des circonstances existant au moment du jugement et de la situation, telle qu'elle évoluera probablement à long terme, de façon durable et définitive ( ATF 120 II 229 consid. 3b/bb p. 234; 119 II 201 consid. 3 p. 205). Pour se prononcer sur ces relations, le juge tient compte de l'ensemble des circonstances, examine leurs interactions et en pondère les effets ( ATF 122 III 404 consid. 3d p. 408; 119 II 201 consid. 3 p. 204 s.). En ce qui concerne l'attribution des enfants ainsi que pour toutes les questions qui sont étroitement liées à ce problème, notamment la réglementation du droit de visite, c'est la maxime d'office, respectivement inquisitoire, qui prévaut ( ATF 122 III 404 consid. 3d. p. 408; 120 II 229 consid. 1c p. 231). En effet, en application de l' art. 145 al. 1 CC , le juge du divorce doit instruire l'état de fait déterminant pour la décision en procédant d'office à l'administration des moyens de preuve nécessaires ( ATF 122 III 404 consid. 3d p. 408 et les références citées). S'il ne s'acquitte pas de ce devoir, la cause doit en général être renvoyée à l'autorité cantonale pour qu'elle complète la procédure probatoire ( art. 64 al. 1er OJ ). Dans les cas litigieux comme en l'espèce et, en particulier, lorsqu'un des parents allègue que les visites, notamment celles organisées sous une forme non surveillée chez le parent titulaire du droit aux relations personnelles portent préjudice aux enfants, il est en règle générale indispensable d'ordonner une expertise. Il importe peu alors, compte tenu de la maxime d'office, respectivement inquisitoire, que, dans la procédure cantonale, les parties aient requis un tel moyen de preuve ( ATF 122 III 404 consid. 3d p. 409 et les références citées).</w:t>
      </w:r>
    </w:p>
    <w:p>
      <w:r>
        <w:rPr>
          <w:b/>
        </w:rPr>
        <w:t>E. 2.2</w:t>
      </w:r>
    </w:p>
    <w:p>
      <w:r>
        <w:t>La cour cantonale a admis que les circonstances liées à la personnalité du père, soit ses tendances pédophiles, qui dénotent d'une perversion de l'image de l'enfant en général, ainsi que ses tendances suicidaires, qui pourraient théoriquement se manifester en présence des enfants, sont susceptibles de perturber l'épanouissement de ces derniers et de contrarier l'idée que la mère s'en fait. Elle a toutefois relevé que l'intimé s'est sérieusement préoccupé de sa situation dès la découverte de ses penchants, qu'il poursuit depuis trois ans une psychothérapie, et que son médecin, qui loue périodiquement la qualité de ses investissements, a pu émettre un bon pronostic et déclarer que l'état dépressif de son patient s'est amélioré de façon satisfaisante. Elle a enfin constaté que tant les enquêtes civiles que pénales n'ont pas mis en évidence une situation de passage à l'acte avec des enfants, la perversité de l'intimé se limitant fort heureusement à la consultation médiatique. Sur la base de ces éléments, la cour cantonale a conclu qu'il n'existait pas de risques concrets pour les enfants et que le maintien de l'exercice du droit de visite en milieu protégé et en présence d'un tiers était excessif. Elle a ainsi décidé de restaurer progressivement le droit de visite du père, afin de mesurer l'évolution favorable de ce dernier et de préserver l'équilibre des enfants.</w:t>
      </w:r>
    </w:p>
    <w:p>
      <w:r>
        <w:rPr>
          <w:b/>
        </w:rPr>
        <w:t>E. 2.3</w:t>
      </w:r>
    </w:p>
    <w:p>
      <w:r>
        <w:t>La recourante conteste cette restauration progressive du droit de visite. Elle soutient, qu'à défaut d'expertise psychiatrique, les éléments du dossier ne permettent pas à la cour cantonale d'évaluer les risques liés au comportement pédophile du défendeur. Elle affirme aussi que les risques auxquels sont exposés les enfants sont réels et concrets, de sorte qu'une limitation du droit de visite de l'intimé est nécessaire pour sauvegarder le bien de ces derniers.</w:t>
      </w:r>
    </w:p>
    <w:p>
      <w:r>
        <w:rPr>
          <w:b/>
        </w:rPr>
        <w:t>E. 2.3.1</w:t>
      </w:r>
    </w:p>
    <w:p>
      <w:r>
        <w:t>En l'espèce, il ressort des constatations cantonales que l'intimé présente un état dépressif, a commis deux tentatives de suicide en 2000 et a été condamné pour violation de l' art. 197 ch. 3 CP , après avoir téléchargé sur son site internet quelques 1'600 photographies à caractère pédophile. Le défendeur présente ainsi manifestement des tendances suicidaires et pédophiles, susceptibles de perturber l'épanouissement de jeunes enfants. Il est vrai que, selon l'arrêt attaqué, l'intimé se fait soigner depuis trois ans et que son état dépressif s'est amélioré. Toutefois, on ignore encore quel est le pronostic quant à ses perversions sexuelles et si et dans quelle mesure elles représentent un danger pour ses enfants. De plus, malgré le rapport du 8 mai 2001 du Service de la protection de la jeunesse, qui préconise une expertise psychiatrique pour évaluer les risques d'un passage à l'acte suicidaire ou pédophile, celle-ci n'a jamais été effectuée, alors que, selon la jurisprudence précitée (cf. supra, consid. 2.1.2), elle est en règle générale indispensable dans de tels cas. Enfin, contrairement à l'avis de la cour cantonale, le fait que l'intimé suive régulièrement une thérapie et le fait qu'aucun passage à l'acte sur des enfants n'ait été mis en évidence ne constituent pas des indices suffisants pour exclure tout risque concret de mise en danger du bien des enfants. En effet, une mise en danger concrète n'exige pas la réalisation d'un résultat, à savoir que des abus sexuels aient effectivement été commis et que les enfants aient été atteints dans leur santé; il suffit que ce risque apparaisse à tout le moins vraisemblable dans le cas concret (cf. supra, consid. 2.1.2 et cf. ATF 126 IV 136 consid. 1b p. 138 s.; 125 IV 64 consid. 1a p. 69).</w:t>
      </w:r>
    </w:p>
    <w:p>
      <w:r>
        <w:rPr>
          <w:b/>
        </w:rPr>
        <w:t>E. 2.3.2</w:t>
      </w:r>
    </w:p>
    <w:p>
      <w:r>
        <w:t>Ainsi, sur la base de ces éléments, on ne peut répondre à la question de savoir si les défauts de caractère de l'intimé constituent un danger concret ou non pour le bien de ses enfants. A défaut de constatations cantonales sur les risques concrets d'un passage à l'acte suicidaire ou pédophile et d'expertise judiciaire à ce sujet, il n'est pas possible de savoir s'il existe ou non un juste motif au sens de l' art. 274 al. 2 CC . Par conséquent, en l'état, on ne peut élargir le droit de visite du père en prévoyant un droit de visite ordinaire, comme le fait la Cour de justice, ni le restreindre, de manière durable, en le soumettant notamment à une surveillance, comme le demande la recourante dans ses conclusions principales. En outre, il convient de préciser que le juge du divorce doit régler le droit de visite de manière durable et définitive (cf. supra, consid. 2.1.3) et qu'on ne saurait par conséquent renvoyer le père aux autorités tutélaires pour faire modifier son droit de visite après expertise, ce d'autant plus que l'intimé a consenti à s'y soumettre. La question de la mise en danger de la santé physique et psychologique des enfants doit donc être tranchée dans la procédure de divorce. Partant, la cause doit être renvoyée ( art. 64 al. 1 OJ ) à l'autorité cantonale pour compléter l'état de fait. Il lui appartient de requérir une expertise psychiatrique relative aux risques concrets que présente l'intimé pour ses enfants en raison de ses tendances suicidaires et pédophiles et, au vu des résultats, de trancher la question de savoir s'il existe ou non des motifs au sens de l' art. 274 al. 2 CC et finalement de définir l'étendue du droit de visite du père.</w:t>
      </w:r>
    </w:p>
    <w:p>
      <w:r>
        <w:rPr>
          <w:b/>
        </w:rPr>
        <w:t>E. 3</w:t>
      </w:r>
    </w:p>
    <w:p>
      <w:r>
        <w:t>Au vu de ce qui précède, le recours doit être partiellement admis dans la mesure où il est recevable et l'arrêt attaqué annulé en tant qu'il annule le point 3 du dispositif du jugement rendu le 18 juin 2003 par le Tribunal de première instance de Genève. La cause est renvoyée à l'autorité cantonale pour nouvelle décision dans le sens des considérants. L'intimé, qui succombe, paiera les frais de justice et versera des dépens à sa partie adverse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