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5C.51/2005 vom 2. September 2005</w:t>
      </w:r>
    </w:p>
    <w:p>
      <w:r>
        <w:t>Bundesgericht, 2005-09-02, FR</w:t>
      </w:r>
    </w:p>
    <w:p>
      <w:r>
        <w:rPr>
          <w:b/>
        </w:rPr>
        <w:t xml:space="preserve">Quelle: </w:t>
      </w:r>
      <w:r>
        <w:t>https://mcp.opencaselaw.ch/entscheid/bger_5C.51_2005</w:t>
      </w:r>
    </w:p>
    <w:p>
      <w:r>
        <w:t>FR: TF 5C.51/2005 du 2 septembre 2005</w:t>
      </w:r>
    </w:p>
    <w:p>
      <w:r>
        <w:t>IT: TF 5C.51/2005 del 2 settembre 2005</w:t>
      </w:r>
    </w:p>
    <w:p>
      <w:pPr>
        <w:pStyle w:val="Heading2"/>
      </w:pPr>
      <w:r>
        <w:t>Erwägungen</w:t>
      </w:r>
    </w:p>
    <w:p>
      <w:r>
        <w:rPr>
          <w:b/>
        </w:rPr>
        <w:t>E. 1</w:t>
      </w:r>
    </w:p>
    <w:p>
      <w:r>
        <w:t>Le Tribunal fédéral examine d'office et avec une pleine cognition la recevabilité du recours dont il est saisi ( ATF 131 I 145 consid. 2 p. 147 et les arrêts cités).</w:t>
      </w:r>
    </w:p>
    <w:p>
      <w:r>
        <w:rPr>
          <w:b/>
        </w:rPr>
        <w:t>E. 1.1</w:t>
      </w:r>
    </w:p>
    <w:p>
      <w:r>
        <w:t>Dirigé contre une décision qui règle les relations personnelles avec l'enfant, le recours est ouvert au regard de l' art. 44 let . d OJ (Hegnauer, Grundriss des Kindesrechts, 5e éd., n. 19.12; cf. pour la jurisprudence antérieure: ATF 118 Ia 473 consid. 2 p. 474 ss). Déposé en temps utile à l'encontre d'une décision finale prise en dernière instance cantonale, il l'est aussi sous l'angle des art. 48 al. 1 et 54 al. 1 OJ.</w:t>
      </w:r>
    </w:p>
    <w:p>
      <w:r>
        <w:rPr>
          <w:b/>
        </w:rPr>
        <w:t>E. 1.2</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Même si le litige est soumis - comme ici ( ATF 122 III 404 consid. 3d p. 408) - à la maxime inquisitoire, il ne peut être présenté de nouveaux faits ( art. 55 al. 1 let . c OJ; ATF 120 II 229 consid. 1c p. 231).</w:t>
      </w:r>
    </w:p>
    <w:p>
      <w:r>
        <w:t>D'emblée, les recourants font valoir que l'état de fait de l'arrêt entrepris est «erroné et lacunaire», et qu'il doit être «corrigé et complété» dans le sens proposé par eux; au surplus, cette décision recèle des «erreurs importantes et manifestes qui sont le résultat d'inadvertances». Quoi qu'en pensent les intéressés, la décision attaquée ne souffre d'aucune inadvertance manifeste au sens de l' art. 63 al. 2 OJ (sur cette notion, cf. notamment: ATF 115 II 399 consid. 2a; 109 II 159 consid. 2b p. 162 et les références). Quant à l' art. 64 al. 1 OJ , il ne leur accorde pas la possibilité de compléter les constatations de la juridiction cantonale en affirmant que l'état de fait amendé conduirait à une solution conforme à leur thèse (arrêt 5C.112/2003 du 27 février 2004, consid. 1.3.2). Les nombreux compléments et précisions contenus dans l'acte de recours doivent, partant, être écartés.</w:t>
      </w:r>
    </w:p>
    <w:p>
      <w:r>
        <w:rPr>
          <w:b/>
        </w:rPr>
        <w:t>E. 2</w:t>
      </w:r>
    </w:p>
    <w:p>
      <w:r>
        <w:t>Le présent recours émane tant du père que de l'enfant.</w:t>
      </w:r>
    </w:p>
    <w:p>
      <w:r>
        <w:rPr>
          <w:b/>
        </w:rPr>
        <w:t>E. 2.1</w:t>
      </w:r>
    </w:p>
    <w:p>
      <w:r>
        <w:t>Contrairement à l'opinion de l'intimée, le père a bien qualité pour recourir (Hegnauer, op. cit., n. 27.64; par exemple: ATF 127 III 295 ss [qualité pour recourir de la mère contre la fixation du droit de visite en faveur du père d'un enfant né hors mariage]), cette prérogative n'étant pas réservée à celui qui jouit d'un «droit légal sur l'enfant [i.e. autorité parentale ou droit de garde]», mais appartient, d'une façon générale, à quiconque invoque les intérêts de la personne à protéger ou se plaint d'une violation de ses propres droits ou intérêts ( art. 420 CC ; ATF 121 III 1 consid. 2a p. 3 et les références).</w:t>
      </w:r>
    </w:p>
    <w:p>
      <w:r>
        <w:rPr>
          <w:b/>
        </w:rPr>
        <w:t>E. 2.2</w:t>
      </w:r>
    </w:p>
    <w:p>
      <w:r>
        <w:t>En revanche, la qualité pour recourir de l'enfant (mineur) n'est pas évidente. En effet, celui-ci est toujours légalement représenté par sa mère intimée ( art. 298 al. 1 CC ); il ne saurait être représenté par son père recourant, en qualité de curateur, vu le conflit d'intérêts manifeste qui en résulterait ( art. 306 al. 2 CC ); enfin, l'autorité tutélaire ne lui a désigné aucun curateur ( art. 392 ch. 2 CC ), le SPJ n'ayant été nommé à cette fonction qu'au titre de la curatelle éducative ( art. 308 CC ).</w:t>
      </w:r>
    </w:p>
    <w:p>
      <w:r>
        <w:t>D'après la jurisprudence, la réglementation du droit de visite affecte les droits de la personnalité de l'enfant, en sorte qu'il peut procéder seul en justice, à condition d'être capable de discernement ( ATF 120 Ia 369 consid. 1a p. 371; Hegnauer, op. cit., n. 26.24); en règle générale, cette capacité est considérée comme atteinte à l'âge de 12 ans ( ATF 120 Ia 369 consid. 1a p. 371; Breitschmid, Basler Kommentar, 2e éd., n. 4 ad art. 144 CC ; Bucher, Berner Kommentar, 3e éd., n. 71 ad art. 16 CC , avec d'autres références). Ce réquisit est satisfait en l'espèce. S'il est exact que l'enfant n'avait que 10½ ans à la date du dépôt du recours, il ressort de l'attestation médicale produite par les recourants, établie le 9 février 2005 par une pédopsychiatre, que l'intéressé a saisi la portée du contentieux; bien qu'il s'agisse là d'une pièce nouvelle, celle-ci est, néanmoins, recevable, dès lors qu'elle tend à établir une condition de recevabilité du recours (Poudret, COJ II, n. 1.5.3.4 ad art. 55 OJ et les arrêts cités). Enfin, le recourant a signé personnellement la procuration de son conseil (cf. ATF 120 Ia 369 consid. 1a in fine p. 372).</w:t>
      </w:r>
    </w:p>
    <w:p>
      <w:r>
        <w:rPr>
          <w:b/>
        </w:rPr>
        <w:t>E. 3.1</w:t>
      </w:r>
    </w:p>
    <w:p>
      <w:r>
        <w:t>En vertu de l' art. 314 ch. 1 CC - dans sa teneur en vigueur depuis le 1er janvier 2000 (RO 1999 p. 1139 et 1142) - avant d'ordonner une mesure de protection de l'enfant, l'autorité tutélaire ou le tiers nommé à cet effet entend l'enfant personnellement et de manière appropriée, pour autant que son âge ou d'autres motifs importants ne s'opposent pas à l'audition. Cette norme correspond à l' art. 144 al. 2 CC , relatif à l'audition des enfants dans le procès en divorce; ces dispositions sont applicables par analogie au droit de visite institué aux art. 273 ss CC ( ATF 127 III 295 consid. 2a p. 296/297). L'audition est effectuée par la juridiction compétente elle-même ( ATF 127 III 295 consid. 2a p. 297 et la doctrine mentionnée) ou, en cas de circonstances particulières, par un spécialiste de l'enfance, notamment un pédopsychiatre ( ATF 127 III 295 consid. 2b p. 297).</w:t>
      </w:r>
    </w:p>
    <w:p>
      <w:r>
        <w:t>L'art. 12 de la Convention des Nations Unies du 20 novembre 1989 sur les droits de l'enfant (CDE; RS 0.107) l'emporte, certes, sur les règles précitées (A. Bucher, L'enfant en droit international privé, n° 11), mais il n'accorde pas plus de garanties que le droit interne (arrêt 5P.322/2003 du 18 décembre 2003, consid. 3). C'est même le contraire qui est vrai, car cette disposition conventionnelle ne vise que l'enfant «capable de discernement», au sens de l' art. 16 CC (arrêt 5C.63/2005 du 1er juin 2005, consid. 1.1, destiné à la publication).</w:t>
      </w:r>
    </w:p>
    <w:p>
      <w:r>
        <w:rPr>
          <w:b/>
        </w:rPr>
        <w:t>E. 3.2</w:t>
      </w:r>
    </w:p>
    <w:p>
      <w:r>
        <w:t>Il ressort des constatations - pas des plus claires - de l'autorité cantonale que l'enfant n'a été entendu qu'à une seule reprise, à savoir lors de l'expertise du 10 juin 2002. On peut laisser indécise la question de savoir s'il était justifié, dans le cas présent, de déléguer l'audition à un tiers, puisque la décision attaquée ne contient rien au sujet de l'avis exprimé par l'enfant à cette occasion. En outre, le Dr X.________ n'a pas revu l'enfant au moment de l'établissement de la seconde expertise, le 21 juillet 2004, qui devait se prononcer sur l'opportunité d'une reprise du droit de visite de la mère. L'intéressé n'a, dès lors, plus été entendu depuis juin 2002, sans que l'on connaisse, au demeurant, son opinion quant à l'exercice du droit de visite; son âge ne faisait pas obstacle à l'audition (sur ce dernier point: arrêt 5C.63/2005, précité, consid. 1.2 et les nombreuses citations).</w:t>
      </w:r>
    </w:p>
    <w:p>
      <w:r>
        <w:t>La juridiction inférieure a également constaté que, au «cours des deux dernières années, la mère n'a pas exercé son droit de visite, sans que l'on sache vraiment pourquoi». S'il est vrai que le fait de ne pas se soucier sérieusement de l'enfant ne constitue pas, en soi, un motif qui justifie le refus ou le retrait des relations personnelles, encore faut-il qu'un tel comportement ne lèse pas le bien de l'enfant ( ATF 118 II 21 consid. 3c p. 24). Or, il incombait à l'autorité cantonale, en vertu de la maxime inquisitoire (cf. à ce sujet: ATF 128 III 411 consid. 3.2.1 p. 413 et les citations; arrêt 5C.257/2004 du 9 mars 2005, consid. 2.2. et 2.3., en matière de retrait du droit de garde) d'élucider cet aspect, qui n'était pas dénué de pertinence (cf. ATF 118 II 21 consid. 3d p. 25).</w:t>
      </w:r>
    </w:p>
    <w:p>
      <w:r>
        <w:t>Il s'ensuit que la cause doit être renvoyée à la juridiction précédente pour instruction complémentaire ( ATF 128 III 411 consid. 3.2.1 p. 414 et la jurisprudence citée).</w:t>
      </w:r>
    </w:p>
    <w:p>
      <w:r>
        <w:rPr>
          <w:b/>
        </w:rPr>
        <w:t>E. 4</w:t>
      </w:r>
    </w:p>
    <w:p>
      <w:r>
        <w:t>En conclusion, le présent recours doit être admis dans la mesure où il est recevable, l'arrêt entrepris annulé et la cause renvoyée à l'autorité cantonale pour nouvelle décision dans le sens des considérants.</w:t>
      </w:r>
    </w:p>
    <w:p>
      <w:r>
        <w:t>Les frais et dépens incombent à l'intimée, qui succombe (art. 156 al. 1 et 159 al. 1 OJ; ATF 119 Ia 1 consid. 6b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