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5C.44/2006 vom 27. Juli 2006</w:t>
      </w:r>
    </w:p>
    <w:p>
      <w:r>
        <w:t>Bundesgericht, 2006-07-27, DE</w:t>
      </w:r>
    </w:p>
    <w:p>
      <w:r>
        <w:rPr>
          <w:b/>
        </w:rPr>
        <w:t xml:space="preserve">Quelle: </w:t>
      </w:r>
      <w:r>
        <w:t>https://mcp.opencaselaw.ch/entscheid/bger_5C.44_2006</w:t>
      </w:r>
    </w:p>
    <w:p>
      <w:r>
        <w:t>FR: TF 5C.44/2006 du 27 juillet 2006</w:t>
      </w:r>
    </w:p>
    <w:p>
      <w:r>
        <w:t>IT: TF 5C.44/2006 del 27 luglio 2006</w:t>
      </w:r>
    </w:p>
    <w:p>
      <w:pPr>
        <w:pStyle w:val="Heading2"/>
      </w:pPr>
      <w:r>
        <w:t>Regeste</w:t>
      </w:r>
    </w:p>
    <w:p>
      <w:r>
        <w:t>Miteigentum | Sachenrecht</w:t>
      </w:r>
    </w:p>
    <w:p>
      <w:pPr>
        <w:pStyle w:val="Heading2"/>
      </w:pPr>
      <w:r>
        <w:t>Erwägungen</w:t>
      </w:r>
    </w:p>
    <w:p>
      <w:r>
        <w:rPr>
          <w:b/>
        </w:rPr>
        <w:t>E. 1</w:t>
      </w:r>
    </w:p>
    <w:p>
      <w:r>
        <w:t>Das einfache Miteigentum und das Stockwerkeigentum als besondere Form des Miteigentums an einem Grundstück stellen - wie das Eigentum an einer Sache überhaupt - typische Vermögensrechte dar. Streitigkeiten betreffend Mit- und Stockwerkeigentum sind deshalb grundsätzlich vermögensrechtlicher Natur. Dies gilt nach der publizierten Rechtsprechung des Bundesgerichts auch für die Versammlung der Stockwerkeigentümer und die Anfechtung der von ihr gefassten Beschlüsse, obwohl das Gesetz hierfür auf das Vereinsrecht verweist ( BGE 108 II 77 ); umso mehr handelt es sich bei der Anfechtung der Beschlüsse gewöhnlicher Miteigentümer um vermögensrechtliche Streitigkeiten. Bei vermögensrechtlichen Streitigkeiten, deren Gegenstand nicht in einer bestimmt bezifferten Geldsumme besteht, ist in der Berufungsschrift anzugeben, ob der erforderliche Streitwert von Fr. 8'000.-- erreicht ist ( Art. 46 und Art. 55 Abs. 1 lit. a OG ). Geht die Klage nicht auf Bezahlung einer bestimmten Geldsumme, setzt das Bundesgericht den Streitwert ohne Bindung an kantonale Angaben von Amtes wegen und nach freiem Ermessen fest ( Art. 36 Abs. 2 OG ). Das Obergericht ging (wie bereits der Friedensrichter) von einem Streitwert von Fr. 17'500.-- aus (S. 22), was offenbar dem hälftigen Verkehrswert der beiden Einstellplätze der Klägerin entspricht (Berufung, S. 9). Indes hat sich im Verlauf des obergerichtlichen Verfahrens ergeben, dass nicht mehr die Berechtigung der Klägerin zur Errichtung einer Abschrankung an sich strittig ist, sondern nur noch, ob sie die bestehende Installation stehen lassen darf oder ob sie diese entfernen und durch eine andere ersetzen muss. Insoweit genügt es nicht, auf den vom Obergericht bezeichneten, aber nicht näher spezifizierten Streitwert zu verweisen. Ausgangspunkt für die Bestimmung des Streitwertes kann vor diesem Hintergrund sodann nicht (mehr) der Marktwert der Einstellplätze sein; vielmehr sind die allfälligen Kosten für die Demontage des bestehenden Metallrahmens und das Anbringen einer neuen Abschrankung massgeblich. Wie die Fotos KB 2 und KAB 1 zeigen, handelt es sich beim gegenwärtigen Geländer um eine einfache Metallkonstruktion, deren sechs Bodenschrauben innert Minutenschnelle gelöst werden können (angefochtenes Urteil, S. 20 Mitte). Sodann dürfte die neue Abschrankung ähnlich aussehen, ist doch zwischen den Parteien in erster Linie deren Standort umstritten (gemäss den Ausführungen von Y.________ ist das bestehende Geländer auf seiner Sondernutzungsfläche installiert). Ausgehend vom Gesagten dürften nach freier Schätzung des Bundesgerichts Kosten in der Grössenordnung von Fr. 2'000.-- anfallen; jedenfalls ist nicht ersichtlich, inwiefern der für vermögensrechtliche Streitigkeiten erforderliche Streitwert von Fr. 8'000.-- erreicht sein könnte, weshalb auf die Berufung nicht einzutreten ist. Eine Konversion der Berufung in eine staatsrechtliche Beschwerde scheitert daran, dass die Ausführungen der Beklagten appellatorisch sind (vgl. dazu BGE 107 Ia 186 ; 125 I 492 E. 1b S. 495 ; 130 I 258 E. 1.3 S. 262) und sie nicht aufzeigt, welche verfassungsmässigen Rechte und inwiefern diese durch den angefochtenen Entscheid verletzt worden wären (Rügeprinzip nach Art. 90 Abs. 1 lit. b OG ).</w:t>
      </w:r>
    </w:p>
    <w:p>
      <w:r>
        <w:rPr>
          <w:b/>
        </w:rPr>
        <w:t>E. 2</w:t>
      </w:r>
    </w:p>
    <w:p>
      <w:r>
        <w:t>Zwar vermag eine Rechtsmittelbelehrung grundsätzlich kein Rechtsmittel zu schaffen ( BGE 108 III 23 E. 3 S. 26; 112 Ib 538 E. 1 S. 541). Hingegen darf einer Partei, die auf eine Rechtsmittelbelehrung vertrauen durfte und tatsächlich vertraut hat, kein Nachteil erwachsen ( BGE 124 I 255 E. 1a/aa S. 258). Auf die Rechtsmittelbelehrung vertrauen darf eine Prozesspartei dann, wenn sie die Fehlerhaftigkeit bei gebührender Aufmerksamkeit nicht erkennen musste ( BGE 121 II 71 E. 2a S. 78; 127 II 198 E. 2c S. 205). Dabei wird von Anwälten ein höheres Mass an Sorgfalt verlangt als von rechtsunkundigen Personen (Entscheide 1A.29/1997, E. 1e; 4P.153/2005, E. 3.3). Vorliegend war die Beschwerdeführerin nicht anwaltlich vertreten und ist das Obergericht von einem Streitwert in der Höhe von Fr. 17'500.-- ausgegangen; indes bezog sich dieser auf einen weiter gefassten Streitgegenstand, was auch für eine nicht anwaltlich vertretene Partei hätte erkennbar sein können. Insgesamt rechtfertigt es sich, keine Gerichtsgebühr zu erheben, aber der Beschwerdeführerin auch keine Umtriebsentschädigung zuzusprechen. Die Frage nach der Entschädigung der Gegenpartei stellt sich nicht, weil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