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5C.38/2003 vom 31. März 2003</w:t>
      </w:r>
    </w:p>
    <w:p>
      <w:r>
        <w:t>Bundesgericht, 2003-03-31, FR</w:t>
      </w:r>
    </w:p>
    <w:p>
      <w:r>
        <w:rPr>
          <w:b/>
        </w:rPr>
        <w:t xml:space="preserve">Quelle: </w:t>
      </w:r>
      <w:r>
        <w:t>https://mcp.opencaselaw.ch/entscheid/bger_5C.38_2003</w:t>
      </w:r>
    </w:p>
    <w:p>
      <w:r>
        <w:t>FR: TF 5C.38/2003 du 31 mars 2003</w:t>
      </w:r>
    </w:p>
    <w:p>
      <w:r>
        <w:t>IT: TF 5C.38/2003 del 31 marzo 2003</w:t>
      </w:r>
    </w:p>
    <w:p>
      <w:pPr>
        <w:pStyle w:val="Heading2"/>
      </w:pPr>
      <w:r>
        <w:t>Regeste</w:t>
      </w:r>
    </w:p>
    <w:p>
      <w:r>
        <w:t>Droit des contrats</w:t>
      </w:r>
    </w:p>
    <w:p>
      <w:pPr>
        <w:pStyle w:val="Heading2"/>
      </w:pPr>
      <w:r>
        <w:t>Erwägungen</w:t>
      </w:r>
    </w:p>
    <w:p>
      <w:r>
        <w:rPr>
          <w:b/>
        </w:rPr>
        <w:t>E. 1</w:t>
      </w:r>
    </w:p>
    <w:p>
      <w:r>
        <w:t>Contrairement à ce que prescrit l' art. 51 al. 1 let. a OJ , le jugement attaqué ne constate pas si la valeur litigieuse exigée par l' art. 46 OJ est atteinte. Cette omission n'affecte toutefois pas la recevabilité du recours; en effet, la défenderesse a mentionné dans son recours, conformément à l' art. 55 al. 1 let. a OJ , que la valeur litigieuse était atteinte, et il résulte du dossier et n'est pas contesté que celle-ci dépasse 8'000 fr. ( ATF 81 II 413 consid. 1; cf. ATF 109 II 491 consid. c/ee). Le recours est donc recevable du chef de l' art. 46 OJ , s'agissant d'une contestation civile portant sur des droits de nature pécuniaire au sens de cette disposition. Formé en temps utile, il est également recevable au regard de l' art. 54 al. 1 OJ .</w:t>
      </w:r>
    </w:p>
    <w:p>
      <w:r>
        <w:rPr>
          <w:b/>
        </w:rPr>
        <w:t>E. 2</w:t>
      </w:r>
    </w:p>
    <w:p>
      <w:r>
        <w:t>La recourante reproche d'abord à la cour cantonale d'avoir abusé de son pouvoir d'appréciation en écartant l'opinion de l'expert B.________ pour se rallier à l'avis de la Doctoresse E.________ et des autres praticiens qui se sont exprimés dans ce dossier. Elle soutient que si les juges cantonaux avaient procédé conformément à la jurisprudence du Tribunal fédéral des assurances qu'ils ont citée, ils auraient nécessairement été appelés à se rallier aux conclusions de l'expert B.________, en écartant l'opinion des médecins traitants de l'intimée. La recourante expose ainsi en détail, en se référant abondamment à des faits qui ne ressortent pas du jugement attaqué, en quoi les avis exprimés par les divers médecins traitants de l'intimée ne seraient pas objectifs, au contraire de l'opinion du Dr B.________ qui serait fortement motivée, cohérente et impartiale. Au surplus, les juges cantonaux auraient également abusé de leur pouvoir d'appréciation en se ralliant sans aucun examen critique à l'avis non motivé de la seule Doctoresse E.________ pour fixer dans leur jugement les degrés et les périodes d'incapacité de travail qu'ils prêtent à l'assurée. Ces griefs sont irrecevables dans un recours en réforme. En effet, contrairement au Tribunal fédéral des assurances, qui, dans la procédure de recours de droit administratif qui lui est propre, n'est pas lié par la constatation de l'état de fait ( art. 132 let. b OJ ), le Tribunal fédéral, dans la procédure de recours en réforme, est lié par les faits tels qu'ils ont été constatés par la dernière autorité cantonale ( art. 63 al. 2 OJ ). Si l'abus du pouvoir d'appréciation dans l'application du droit fédéral peut être invoqué par la voie du recours en réforme, cette voie de droit ne permet pas de critiquer l'appréciation des preuves à laquelle s'est livrée l'autorité cantonale pour établir l'état de fait ( art. 55 al. 1 let . c, 3e phrase OJ; ATF 122 III 26 consid. 4a/aa p. 32). Or les constatations touchant la mesure et la durée de l'incapacité de travail relèvent du fait et lient le Tribunal fédéral en vertu de l' art. 63 al. 2 OJ ( ATF 111 II 295 consid. 3).</w:t>
      </w:r>
    </w:p>
    <w:p>
      <w:r>
        <w:rPr>
          <w:b/>
        </w:rPr>
        <w:t>E. 3</w:t>
      </w:r>
    </w:p>
    <w:p>
      <w:r>
        <w:t>Selon la recourante, le jugement attaqué serait erroné en ce qu'il reconnaît à l'assurée des indemnités journalières fondées sur l'assurance collective et non sur l'assurance individuelle, car les conditions générales d'assurance applicables en l'espèce contiendraient des clauses limitant ou supprimant le droit aux prestations au delà de la période de couverture de l'assurance collective (cf. ATF 127 III 106 ). Force est toutefois de constater que le jugement attaqué ne contient aucune constatation sur l'existence de telles clauses dans les conditions générales d'assurance. Or comme on l'a vu (cf. consid. 2 supra), le Tribunal fédéral, lorsqu'il est saisi d'un recours en réforme, doit conduire son raisonnement sur la base des faits contenus dans la décision attaquée, le recours en réforme ne permettant de présenter ni griefs contre les constatations de fait, ni faits nouveaux ( art. 55 al. 1 let . c OJ). Dès lors, le moyen de la recourante, fondé sur un fait qui ne trouve aucune assise dans le jugement attaqué, ne peut être pris en considération.</w:t>
      </w:r>
    </w:p>
    <w:p>
      <w:r>
        <w:rPr>
          <w:b/>
        </w:rPr>
        <w:t>E. 4</w:t>
      </w:r>
    </w:p>
    <w:p>
      <w:r>
        <w:t>La recourante se plaint ensuite d'une violation de l'art. 47 al. 2 de la loi fédérale sur la surveillance des institutions d'assurance privées (LSA; RS 961.01), dont il résulte que dans les contestations relatives aux assurances complémentaires à l'assurance maladie sociale, le juge établit d'office les faits. La recourante en déduit que si la cour cantonale estimait ne pas pouvoir se rallier d'emblée aux conclusions de l'expert B.________, elle aurait dû provoquer d'office une expertise judiciaire permettant de trancher médicalement sur les divergences d'opinion entre les médecins traitants et l'expert commis par l'assurance. Ce grief tombe à faux. Dès lors que la cour cantonale s'estimait en mesure, sur la base des rapports du Dr B.________, des avis de la Doctoresse E.________ et des opinions des autres praticiens qui s'étaient exprimés dans ce dossier, de trancher les questions de fait relatives à l'incapacité de travail de l'intimée - ce qu'elle a fait d'une manière qui ne peut pas être revue en instance de réforme (cf. consid. 2 supra) -, il ne saurait lui être reproché de ne pas avoir établi d'office les faits.</w:t>
      </w:r>
    </w:p>
    <w:p>
      <w:r>
        <w:rPr>
          <w:b/>
        </w:rPr>
        <w:t>E. 5</w:t>
      </w:r>
    </w:p>
    <w:p>
      <w:r>
        <w:t>La recourante se plaint enfin d'une violation de son droit à la preuve découlant de l' art. 8 CC , du fait que la cour cantonale n'a pas entendu les quatre témoins dont elle avait requis l'audition avec sa duplique du 12 mars 2002. Elle soutient que, la question débattue étant "de savoir s'il y avait lieu de mettre ou non un terme au paiement des indemnités journalières, et à quelle date", l'audition du Dr B.________ et de la Doctoresse E.________, de même que celle des deux collaborateurs de la recourante cités comme témoins par celle-ci, constituait sans aucun doute un élément nécessaire pour que l'autorité cantonale puisse se forger une conviction. L' art. 8 CC , dont la jurisprudence a déduit le droit à la preuve, ne dicte pas sur quelles bases et comment le juge peut forger sa conviction ( ATF 128 III 22 consid. 2d et les arrêts cités). Cette disposition n'empêche en particulier pas le juge de procéder à une appréciation anticipée des preuves qui lui sont offertes ( ATF 114 II 289 consid. 2a; 109 II 26 consid. 3b; 87 II 218 consid. 2 p. 232 et les arrêts cités), lorsqu'il s'est forgé une conviction sur la base des preuves déjà administrées et peut admettre sans arbitraire que l'administration des preuves supplémentaires offertes ne pourrait l'amener à modifier son opinion ( ATF 124 I 208 consid. 4a; 122 II 464 consid. 4a). Ainsi, lorsque le juge renonce à administrer une preuve sur la base d'une appréciation anticipée des preuves, seule la voie du recours de droit public est ouverte pour se plaindre du caractère arbitraire d'une telle appréciation ( ATF 114 II 289 consid. 2a et les arrêts cités). En l'occurrence, l'autorité cantonale s'est estimée en mesure, sur la base des preuves déjà administrées, de trancher les questions de fait relatives à l'incapacité de travail de l'intimée (cf. consid. 4 supra), qui étaient au coeur du litige. Ce faisant, elle a implicitement renoncé à administrer les preuves supplémentaires offertes par la recourante en procédant à une appréciation anticipée de ces preuves, qui n'aurait pu être critiquée que par la voie du recours de droit public. Le grief de violation du droit à la preuve soulevé par la recourante - laquelle affirme par ailleurs elle-même dans son recours que les informations fournies par l'expert B.________ étaient suffisantes pour retenir qu'il avait été mis à juste titre un terme aux prestations le 14 février 2001 - ne peut dès lors qu'être écarté.</w:t>
      </w:r>
    </w:p>
    <w:p>
      <w:r>
        <w:rPr>
          <w:b/>
        </w:rPr>
        <w:t>E. 6</w:t>
      </w:r>
    </w:p>
    <w:p>
      <w:r>
        <w:t>Il résulte de ce qui précède que le recours, mal fondé, doit être rejeté dans la mesure où il est recevable, aux frais de son auteur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