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5C.38/2000 vom 4. Mai 2000</w:t>
      </w:r>
    </w:p>
    <w:p>
      <w:r>
        <w:t>Bundesgericht, 2000-05-04, FR</w:t>
      </w:r>
    </w:p>
    <w:p>
      <w:r>
        <w:rPr>
          <w:b/>
        </w:rPr>
        <w:t xml:space="preserve">Quelle: </w:t>
      </w:r>
      <w:r>
        <w:t>https://mcp.opencaselaw.ch/entscheid/bger_5C.38_2000</w:t>
      </w:r>
    </w:p>
    <w:p>
      <w:r>
        <w:t>FR: TF 5C.38/2000 du 4 mai 2000</w:t>
      </w:r>
    </w:p>
    <w:p>
      <w:r>
        <w:t>IT: TF 5C.38/2000 del 4 maggio 2000</w:t>
      </w:r>
    </w:p>
    <w:p>
      <w:pPr>
        <w:pStyle w:val="Heading2"/>
      </w:pPr>
      <w:r>
        <w:t>Erwägungen</w:t>
      </w:r>
    </w:p>
    <w:p>
      <w:r>
        <w:rPr>
          <w:b/>
        </w:rPr>
        <w:t>E. 1</w:t>
      </w:r>
    </w:p>
    <w:p>
      <w:r>
        <w:t>a) En cas de renvoi de la cause à l'autorité cantonale, le recours en réforme est recevable contre la nouvelle décision sans égard à la valeur litigieuse ( art. 66 al. 2 OJ ). Interjeté en temps utile contre une décision finale prise en dernière instance cantonale, le recours est aussi recevable au regard des art. 48 al. 1 et 54 al. 1 OJ.</w:t>
      </w:r>
    </w:p>
    <w:p>
      <w:r>
        <w:t>b) Les frais et dépens des instances cantonales ne sont pas réglés par le droit civil fédéral. Le recourant entend sans doute son chef de conclusions tendant à ce qu'ils soient mis à la charge de l'intimée comme une conséquence de l'admission du recours (cf. art. 159 al. 6 OJ ).</w:t>
      </w:r>
    </w:p>
    <w:p>
      <w:r>
        <w:rPr>
          <w:b/>
        </w:rPr>
        <w:t>E. 2</w:t>
      </w:r>
    </w:p>
    <w:p>
      <w:r>
        <w:t>a) La Chambre des recours a considéré que le minimum vital du débirentier devait certes être préservé, mais qu'il n'y avait pas lieu, s'agissant d'une rente fondée sur l'art. 151 al. 1 aCC, de prendre en compte un supplément de 20% comme c'était le cas pour la pension de l'art. 152 aCC.</w:t>
      </w:r>
    </w:p>
    <w:p>
      <w:r>
        <w:t>Le recourant soutient que cette argumentation procède d'une fausse interprétation des principes posés par la jurisprudence du Tribunal fédéral, dont aucune circonstance exceptionnelle ne permettrait de s'écarter en l'espèce.</w:t>
      </w:r>
    </w:p>
    <w:p>
      <w:r>
        <w:t>b) La limite posée par la capacité contributive du débirentier constitue la règle pour toutes les obligations d'entretien découlant du droit de la famille. Leur quotité doit dès lors être fixée de telle sorte que celui-ci dispose encore d'un revenu lui permettant de couvrir son minimum vital au sens large ( ATF 123 III 1 consid. 3b/bb p. 4). Contrairement à ce que prétend le recourant, c'est uniquement pour l'octroi d'une pension alimentaire selon l'art. 152 aCC (cf. ATF 123 III 1 précité et les références), et non d'une rente selon l'art. 151 al. 1 aCC, que la jurisprudence prend en considération le minimum vital au sens large augmenté de 20%. Vu la nature juridique de cette dernière contribution - laquelle, à la différence de la pension alimentaire de l'art. 152 aCC, n'est pas due au delà du mariage en raison de la solidarité entre anciens époux, mais est destinée à compenser un dommage (cf. ATF 119 II 12 ) -, il suffit que le débirentier dispose encore, après paiement de la rente selon l'art. 151 al. 1 aCC, de son minimum vital élargi, sans le supplément de 20% ( ATF 123 II 1 précité; Lüchinger/Geiser, Commentaire bâlois, n. 12 ad art. 151 CC , dernier paragraphe). Par ailleurs, les considérations du recourant sur son état de santé, sur l'absence d'augmentation significative de ses rentes au cours des prochaines années et sur la couverture des besoins vitaux d'une personne sont irrecevables, dès lors qu'il s'agit de faits qui ne résultent pas de l'arrêt entrepris, voire qui sont en contradiction avec celui-ci. Il en va de même de ses allégations concernant la possibilité pour l'intimée de retrouver une activité lucrative ou, à défaut, d'obtenir des prestations sociales (l'aide sociale étant au demeurant subsidiaire par rapport aux obligations d'entretien du droit de la famille: cf. Deschenaux/Tercier/Werro, Le mariage et le divorce, 4e éd., p. 152 n° 761; Hausheer/Spycher, in Handbuch des Unterhaltsrechts, 1997, p. 44 n° 01.38, p.</w:t>
      </w:r>
    </w:p>
    <w:p>
      <w:r>
        <w:t>293 n° 05.143 et les références citées; cf. aussi ATF 119 Ia 134 consid. 4 p. 135; 108 Ia 10 ). Le grief apparaît ainsi mal fondé, dans la mesure où il est recevable.</w:t>
      </w:r>
    </w:p>
    <w:p>
      <w:r>
        <w:rPr>
          <w:b/>
        </w:rPr>
        <w:t>E. 3</w:t>
      </w:r>
    </w:p>
    <w:p>
      <w:r>
        <w:t>Selon le recourant, l'intimée ne saurait prétendre à une rente illimitée dans le temps. Il demande sur ce point la confirmation des paliers fixés par le jugement de première instance, qu'il considère comme parfaitement appropriés aux circonstances, compte tenu notamment de l'âge des enfants. Il fait valoir que l'intimée conserve la possibilité de se réinsérer professionnellement au cours des prochaines années et de se constituer ainsi une prévoyance convenable.</w:t>
      </w:r>
    </w:p>
    <w:p>
      <w:r>
        <w:t>L'autorité cantonale aurait en outre omis de prendre en considération les droits de l'épouse à des "prestations sociales et complémentaires".</w:t>
      </w:r>
    </w:p>
    <w:p>
      <w:r>
        <w:t>a) Aux termes de l'art. 151 al. 1 aCC, l'époux innocent dont les intérêts pécuniaires, même éventuels, sont compromis par le divorce, a droit à une équitable indemnité de la part du conjoint coupable. Ces intérêts pécuniaires sont en général les avantages économiques assurés à un époux en vertu de la communauté matrimoniale et dont il jouirait encore si le divorce n'avait pas été prononcé. Depuis la modification du droit du mariage, il s'agit moins du droit à l'entretien que de la perte de la prétention à être soutenu, et du dommage subi par celui des époux dont les perspectives d'avoir une activité rémunératrice sont influencées durant le mariage en raison du partage des rôles dans le couple (Bühler/Spühler, Commentaire bernois, n. 21 ad art. 151 CC ; Spühler/Frei-Maurer, Commentaire bernois, supplément, n. 21 ad art. 151 CC ). Dans la mesure où le divorce porte atteinte aux prétentions que la femme divorcée peut déduire des assurances sociales, il faut tenir compte de cet élément pour la question du montant et de la durée de la rente ( ATF 116 II 101 consid. 5f p. 102/103; Spühler/Frei-Maurer, op. cit. , n. 29 ad art. 151 CC ; Hinderling/Steck, Das schweizerische Ehescheidungsrecht, 4e éd., 1995, p. 280).</w:t>
      </w:r>
    </w:p>
    <w:p>
      <w:r>
        <w:t>Il se justifie de limiter la durée de la rente lorsque le préjudice résultant du divorce apparaît temporaire. Si on se trouve en présence d'éléments concrets indiquant que le crédirentier est en mesure de se créer ou de se recréer à long terme une situation économique dans laquelle il ne sera pas plus mal placé qu'auparavant, la rente ne sera accordée que pour le durée prévisible du dommage ( ATF 115 II 6 ss, 427 consid. 5 p. 432; 114 II 9 consid. 7a p. 11; 111 II 305 consid. 5c p. 306 et les arrêts cités).</w:t>
      </w:r>
    </w:p>
    <w:p>
      <w:r>
        <w:t>b) La Chambre des recours a considéré que l'intimée avait certes moins de 45 ans, qu'elle n'était pas en mauvaise santé et qu'elle bénéficiait d'une formation d'institutrice.</w:t>
      </w:r>
    </w:p>
    <w:p>
      <w:r>
        <w:t>Aussi la rente devait-elle en principe être limitée dans le temps. Toutefois, l'épouse avait la charge de quatre enfants, dont deux étaient encore jeunes. Dès lors, elle ne pourrait reprendre sérieusement sa réinsertion professionnelle que dans plusieurs années. Il fallait en outre tenir compte du fait qu'elle n'avait pas pu obtenir une part de l'avoir de prévoyance de son mari, celui-ci étant déjà au bénéfice de prestations de sa caisse de pension. Par conséquent, elle ne toucherait qu'une rente des plus minimes au moment de sa retraite, même si elle recommençait à travailler. Ces éléments justifiaient l'octroi d'une rente illimitée dans le temps.</w:t>
      </w:r>
    </w:p>
    <w:p>
      <w:r>
        <w:t>Cette appréciation des circonstances de l'espèce peut être approuvée par substitution de motifs. Institutrice de formation, l'épouse a cependant cessé d'exercer cette profession après le mariage, plus précisément depuis juillet 1983, à l'exception de quelques remplacements effectués jusqu'à la naissance des jumeaux en 1990. A supposer qu'elle parvienne à se réinsérer dès maintenant dans la vie active, ne serait-ce qu'à temps partiel - ses deux derniers enfants n'étant âgés que de dix ans -, elle ne pourrait vraisemblablement pas se créer une situation économique de nature à réparer le préjudice résultant pour elle du divorce. L'allocation d'une rente viagère apparaît d'autant plus justifiée qu'il s'agit en l'occurrence de compenser la perte de prévoyance subie par l'épouse du fait du divorce, quand bien même celle-ci réussirait à se réinsérer professionnellement par la suite. Dans ces conditions, l'échelonnement de la rente tel que prévu par la Chambre des recours n'apparaît pas non plus contraire au droit fédéral. Ces considérations sont d'autant mieux fondées que le recourant porte la responsabilité exclusive de la désunion, en l'absence de tout facteur concomitant, et que le divorce n'a été prononcé qu'après seize ans de mariage. Enfin, les allégations du recourant concernant la prise en compte des prestations sociales auxquelles l'intimée pourrait avoir droit sont dénuées de pertinence, vu la subsidiarité de telles prestations (cf. supra consid. 2b).</w:t>
      </w:r>
    </w:p>
    <w:p>
      <w:r>
        <w:rPr>
          <w:b/>
        </w:rPr>
        <w:t>E. 4</w:t>
      </w:r>
    </w:p>
    <w:p>
      <w:r>
        <w:t>En conclusion, le recours doit être rejeté dans la mesure où il est recevable et l'arrêt entrepris confirmé.</w:t>
      </w:r>
    </w:p>
    <w:p>
      <w:r>
        <w:t>Le recourant supportera dès lors les frais de justice ( art. 156 al. 1 OJ ). Ses conclusions étaient d'emblée vouées à l'échec, de sorte que sa requête d'assistance judiciaire ne peut être agréée ( art. 152 OJ ). Il n'y a pas lieu d'allouer des dépens, l'intimée n'ayant pas été invitée àrépondre.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