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5C.35/2004 vom 14. April 2004</w:t>
      </w:r>
    </w:p>
    <w:p>
      <w:r>
        <w:t>Bundesgericht, 2004-04-14, FR</w:t>
      </w:r>
    </w:p>
    <w:p>
      <w:r>
        <w:rPr>
          <w:b/>
        </w:rPr>
        <w:t xml:space="preserve">Quelle: </w:t>
      </w:r>
      <w:r>
        <w:t>https://mcp.opencaselaw.ch/entscheid/bger_5C.35_2004</w:t>
      </w:r>
    </w:p>
    <w:p>
      <w:r>
        <w:t>FR: TF 5C.35/2004 du 14 avril 2004</w:t>
      </w:r>
    </w:p>
    <w:p>
      <w:r>
        <w:t>IT: TF 5C.35/2004 del 14 aprile 2004</w:t>
      </w:r>
    </w:p>
    <w:p>
      <w:pPr>
        <w:pStyle w:val="Heading2"/>
      </w:pPr>
      <w:r>
        <w:t>Regeste</w:t>
      </w:r>
    </w:p>
    <w:p>
      <w:r>
        <w:t>Droit des poursuites et faillites</w:t>
      </w:r>
    </w:p>
    <w:p>
      <w:pPr>
        <w:pStyle w:val="Heading2"/>
      </w:pPr>
      <w:r>
        <w:t>Erwägungen</w:t>
      </w:r>
    </w:p>
    <w:p>
      <w:r>
        <w:rPr>
          <w:b/>
        </w:rPr>
        <w:t>E. 1</w:t>
      </w:r>
    </w:p>
    <w:p>
      <w:r>
        <w:t>La décision rendue sur une action en revendication dans la faillite au sens de l' art. 242 LP tranche une contestation de droit des poursuites qui doit toutefois être assimilée à une contestation civile pouvant en principe faire l'objet d'un recours en réforme ( ATF 93 II 436 consid. 1; 81 II 82 consid. 1 in fine). Interjeté en temps utile ( art. 54 al. 1 OJ ) contre une décision finale prise par le tribunal suprême du canton de Genève et qui ne peut pas être l'objet d'un recours ordinaire de droit cantonal ( art. 48 al. 1 OJ ), le recours est donc recevable, la valeur litigieuse dépassant manifestement le seuil de 8'000 fr. fixé par l' art. 46 OJ .</w:t>
      </w:r>
    </w:p>
    <w:p>
      <w:r>
        <w:rPr>
          <w:b/>
        </w:rPr>
        <w:t>E. 2.1</w:t>
      </w:r>
    </w:p>
    <w:p>
      <w:r>
        <w:t>La recourante se plaint en premier lieu d'une violation de l' art. 242 LP . Elle fait valoir qu'elle possédait les actions revendiquées lors de l'ouverture de la faillite de son époux, avant que l'ordonnance du Juge d'instruction du 7 juin 1993 ordonnant leur saisie ne devienne définitive et exécutoire; elle les a d'ailleurs encore présentées le 4 mars 1994 au notaire A.________, à Lausanne. Dès lors que les actions revendiquées par la recourante ne se trouvaient ainsi pas en la possession exclusive de la masse en faillite, l'administration de la faillite ne pouvait pas lui fixer un délai pour ouvrir action en revendication en application de l' art. 242 al. 2 LP . Selon la jurisprudence, l'administration de la faillite n'est fondée à assigner au tiers revendiquant selon l' art. 242 al. 2 LP un délai de vingt jours (auparavant dix jours) pour intenter l'action en revendication que si le bien revendiqué est en la possession exclusive de la masse au moment de l'ouverture de la faillite ( ATF 122 III 436 consid. 2a; 110 III 87 consid. 2). En l'occurrence, il ne ressort pas de l'arrêt attaqué à quel moment de l'année 1993 la faillite de S.________ a été prononcée. Quoi qu'il en soit, la recourante n'a pas contesté par la voie de la plainte ( art. 17 LP ) la décision par laquelle l'administration de la faillite lui a imparti un délai pour ouvrir action en revendication en application de l' art. 242 al. 2 LP ; elle a au contraire introduit une telle action en conformité avec cette décision. Or le tiers revendiquant qui estime que le délai pour ouvrir action lui a été imparti à tort peut porter plainte contre la décision de l'administration (Jean-Luc Tschumy, La revendication de droits de nature à soustraire un bien à l'exécution forcée, thèse Lausanne 1987, p. 90 et les références citées; Franco Lorandi, Betreibungsrechtliche Beschwerde und Nichtigkeit, 2000, n. 211 ad art. 17 LP et les références citées; cf. ATF 123 III 367 ; 121 III 85 ; 120 III 83 ). S'il ne le fait pas et ouvre action en revendication, il ne peut plus se plaindre d'une violation de l' art. 242 LP dans un recours contre le jugement rendu dans la procédure de revendication (cf. arrêt non publié 7B.270/2003 du 27 février 2004, consid. 2.3, avec référence à Amonn/Walther, Grundriss des Schuldbetreibungs- und Konkursrechts, 7e éd., § 24 n. 40).</w:t>
      </w:r>
    </w:p>
    <w:p>
      <w:r>
        <w:rPr>
          <w:b/>
        </w:rPr>
        <w:t>E. 2.2</w:t>
      </w:r>
    </w:p>
    <w:p>
      <w:r>
        <w:t>Dans un deuxième grief, la recourante se plaint d'une violation de l' art. 8 CC , en relation avec le refus du premier juge et de la cour cantonale de réentendre S.________ après que la recourante - qui expose avoir voulu éviter, dans un premier temps, de donner l'impression d'un témoignage préparé à l'avance - ne lui avait posé aucune question à l'audience du 27 novembre 2001. Elle fait valoir que, alors qu'elle avait régulièrement offert à prouver le principal fait pertinent dans le cas d'espèce, à savoir les donations ou transferts dont elle a pu bénéficier de la part de son mari, le premier juge n'a pas procédé à l'administration de cette preuve tout en se fondant ensuite notamment sur l'absence de cette même preuve pour débouter la recourante. En argumentant ainsi sur la base du jugement de première instance, la recourante perd de vue que le recours en réforme n'est recevable que contre les décisions finales prises par les tribunaux ou autres autorités suprêmes des cantons ( art. 48 al. 1 OJ ), de sorte qu'il ne permet pas de s'en prendre à la décision de l'autorité cantonale inférieure (cf. ATF 125 I 492 sur la règle correspondante de l' art. 86 OJ ). Au surplus, le droit à la preuve découlant de l' art. 8 CC suppose non seulement que la partie à laquelle incombe le fardeau de la preuve ait formulé un allégué régulier selon le droit de procédure sur un fait juridiquement pertinent, mais aussi que l'offre de preuve correspondante satisfasse, quant à sa forme et à son contenu, aux exigences du droit cantonal ( ATF 122 III 219 consid. 3c et les arrêts cités; 114 II 289 consid. 2a). Or en l'espèce, la cour cantonale a retenu, par une interprétation exempte d'arbitraire de la loi de procédure genevoise (cf. consid. 2.3 de l'arrêt rendu ce jour sur le recours de droit public connexe), qu'il appartient aux parties, dans le cadre de la maxime des débats, d'indiquer sur quels points précis le témoin doit être interrogé. La recourante, qui a eu l'occasion de poser des questions à son mari à l'audience du 27 novembre 2001 mais ne l'a pas fait, ne saurait dès lors se plaindre, sous l'angle de l' art. 8 CC , du refus des juges cantonaux de le réentendre ou de renvoyer l'affaire au Tribunal de première instance à cette fin. Sa critique ne peut ainsi qu'être rejetée dans la mesure où elle est recevable.</w:t>
      </w:r>
    </w:p>
    <w:p>
      <w:r>
        <w:rPr>
          <w:b/>
        </w:rPr>
        <w:t>E. 2.3</w:t>
      </w:r>
    </w:p>
    <w:p>
      <w:r>
        <w:t>La recourante reproche enfin aux juges cantonaux d'avoir violé l' art. 53 CO en se fondant sans réserve sur la procédure pénale qui avait été dirigée contre elle-même et son mari entre 1992 et 1994, notamment sur les diverses déclarations et auditions de témoins qui avaient été faites à l'époque. Selon l' art. 53 al. 2 CO , le jugement pénal ne lie pas le juge civil en ce qui concerne l'appréciation de la faute et la fixation du dommage. Le Tribunal fédéral a jugé que cette disposition ne s'appliquait pas à l'établissement des faits ( ATF 107 II 151 consid. 5b et c). L' art. 53 CO n'interdit ainsi nullement au juge civil, bien qu'il ne soit pas lié par l'appréciation du juge pénal, de se rallier aux constatations de fait de ce juge (arrêt non publié 4C.74/2000 du 16 août 2001, consid. 1, 3 et 4b). En l'espèce, les juges cantonaux ont procédé à leur propre appréciation circonstanciée des éléments de preuve réunis au cours de la procédure pénale, pour constater, tout comme la Cour correctionnelle l'avait fait, le caractère fictif ou simulé du transfert par S.________ à son épouse de la propriété de ses divers biens. On ne discerne donc aucune violation de l' art. 53 CO .</w:t>
      </w:r>
    </w:p>
    <w:p>
      <w:r>
        <w:rPr>
          <w:b/>
        </w:rPr>
        <w:t>E. 3</w:t>
      </w:r>
    </w:p>
    <w:p>
      <w:r>
        <w:t>Il résulte de ce qui précède que le recours, entièrement mal fondé en tant qu'il est recevable, doit être rejeté dans cette même mesure. La requête d'assistance judiciaire fondée sur l' art. 152 OJ doit également être rejetée du fait que le recours apparaissait d'emblée voué à l'échec au sens de cette disposition. Partant, la recourante, qui succombe, supportera les frais judiciaires ( art. 156 al. 1 OJ ). Il n'y a en revanche pas lieu d'allouer de dépens dès lors que l'intimée n'a pas été invitée à procéder et n'a ainsi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