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5C.35/2000 vom 14. September 2000</w:t>
      </w:r>
    </w:p>
    <w:p>
      <w:r>
        <w:t>Bundesgericht, 2000-09-14, FR</w:t>
      </w:r>
    </w:p>
    <w:p>
      <w:r>
        <w:rPr>
          <w:b/>
        </w:rPr>
        <w:t xml:space="preserve">Quelle: </w:t>
      </w:r>
      <w:r>
        <w:t>https://mcp.opencaselaw.ch/entscheid/bger_5C.35_2000</w:t>
      </w:r>
    </w:p>
    <w:p>
      <w:r>
        <w:t>FR: TF 5C.35/2000 du 14 septembre 2000</w:t>
      </w:r>
    </w:p>
    <w:p>
      <w:r>
        <w:t>IT: TF 5C.35/2000 del 14 settembre 2000</w:t>
      </w:r>
    </w:p>
    <w:p>
      <w:pPr>
        <w:pStyle w:val="Heading2"/>
      </w:pPr>
      <w:r>
        <w:t>Regeste</w:t>
      </w:r>
    </w:p>
    <w:p>
      <w:r>
        <w:t>Droit de la famille</w:t>
      </w:r>
    </w:p>
    <w:p>
      <w:pPr>
        <w:pStyle w:val="Heading2"/>
      </w:pPr>
      <w:r>
        <w:t>Erwägungen</w:t>
      </w:r>
    </w:p>
    <w:p>
      <w:r>
        <w:rPr>
          <w:b/>
        </w:rPr>
        <w:t>E. 1</w:t>
      </w:r>
    </w:p>
    <w:p>
      <w:r>
        <w:t>En cas de renvoi de la cause à l'autorité cantonale, le recours en réforme est recevable contre la nouvelle décision sans égard à la valeur litigieuse ( art. 66 al. 2 OJ ). Interjeté en temps utile, il est également recevable au regard de l'art. 54 al. 1OJ. La réponse et le recours joint ont été déposés en conformité des prescriptions de l' art. 59 OJ .</w:t>
      </w:r>
    </w:p>
    <w:p>
      <w:r>
        <w:rPr>
          <w:b/>
        </w:rPr>
        <w:t>E. 2</w:t>
      </w:r>
    </w:p>
    <w:p>
      <w:r>
        <w:t>Dans son recours joint, l'intimé reproche à la cour cantonale de ne pas s'être conformée à l'arrêt de renvoi, en considérant que le dossier était complet et en omettant de procéder aux constatations demandées par le Tribunal fédéral. Il soutient en outre que la pension devrait être réduite à partir du moment où les parties seront à la retraite, ou lorsque l'épouse sera au bénéfice de prestations de l'assurance-invalidité. a) L'intimé se trompe lorsqu'il affirme que l'arrêt de renvoi obligeait la Chambre des recours à ordonner de nouvelles mesures d'instruction. La seule obligation de l'autorité cantonale était de compléter ses constatations relatives à la possibilité pour l'épouse de se créer, à long terme, une situation la mettant à l'abri du besoin, et de déterminer à partir de quand cette réintégration pourrait intervenir. Or la Chambre des recours a respecté cette obligation, admettant, sur la base du dossier et des mémoires déposés par les parties, qu'il n'existait aucun élément concret indiquant que la recourante eût une telle aptitude. Quoi qu'il en soit, lorsque le Tribunal fédéral renvoie une cause à l'autorité cantonale, celle-ci n'est liée par les motifs de l'arrêt de renvoi que dans la mesure où ils tranchent une question de droit ( art. 66 OJ ; cf. ATF 118 II 142 consid. 3b p. 148/149; 116 II 220 ). En revanche, de simples indications ou recommandations éventuelles n'ont aucun caractère contraignant pour le juge cantonal (Messmer/Imboden, Die eidgnössischen Rechtsmittel in Zivilsachen, Zurich 1992, p. 44, n° 31, note 5). Le principe de l'autorité de l'arrêt de renvoi n'a donc pas été violé. b) Contrairement à ce que prétend l'intimé, la Chambre des recours a examiné la question d'une éventuelle réduction du montant de la pension au moment où les parties seraient à la retraite. Elle a toutefois considéré qu'il n'y avait pas lieu de prévoir de palier, dans la mesure où la rente AVS qu'obtiendrait la recourante ne serait pas très élevée, même en tenant compte des cotisations de l'intimé. Certes, celui-ci verrait peut-être sa situation se péjorer lorsqu'il atteindrait l'âge de la retraite. Toutefois, l'autorité cantonale a estimé qu'elle ne disposait pas d'éléments lui permettant de se déterminer sur ce point, de sorte qu'il appartiendrait au mari de demander, le cas échéant, une modification du jugement. Cette appréciation n'apparaît pas contraire au droit fédéral; en tout cas, l'intimé ne fait rien valoir qui permette de l'affirmer. Dans la mesure où celui-ci fait état d'éléments non retenus dans l'arrêt attaqué (prestations de l'assurance-invalidité versées à l'épouse), son argumentation est par ailleurs irrecevable.</w:t>
      </w:r>
    </w:p>
    <w:p>
      <w:r>
        <w:rPr>
          <w:b/>
        </w:rPr>
        <w:t>E. 3</w:t>
      </w:r>
    </w:p>
    <w:p>
      <w:r>
        <w:t>a) La recourante principale reproche à l'autorité cantonale d'avoir enfreint l'art. 152 aCC en arrêtant le montant de la rente à 1'000 fr. par mois alors que l'intimé dispose, après déduction de son minimum vital augmenté de 20%, d'un solde de 1'163 fr. Le motif avancé par la Chambre des recours pour justifier cette limitation, consistant à dire que le défendeur assume la charge de deux enfants, ce qui entraîne inévitablement de petites dépenses grevant la quotité disponible, serait "arbitraire" et contraire à la pratique jurisprudentielle. Dans sa réponse, l'intimé soutient que le chef de conclusions de la recourante tendant à l'octroi d'une pension de 1'500 fr. par mois se heurte à l' art. 66 OJ , dès lors que ce montant est supérieur à celui retenu dans l'arrêt de renvoi. Une rente d'une telle quotité entamerait en outre de près de 400 fr. son minimum vital au sens large augmenté de 20%. b) Selon les constatations de l'autorité cantonale, qui lient le Tribunal fédéral en instance de réforme ( art. 63 al. 2 OJ ), la recourante ne bénéficie d'aucunes ressources et se trouve par conséquent exposée au dénuement. L'intimé dispose, quant à lui, d'un revenu de 3'575 fr. par mois et son minimum vital, augmenté de 20%, atteint 2'412 fr.; il lui reste donc 1'163 fr. Vu la situation financière des parties, il n'est pas possible d'allouer une rente qui permette de garantir à chacune d'elles son propre minimum vital augmenté de 20%. Une pension d'assistance de 1'000 fr. par mois ne couvre cependant pas même le minimum d'existence de l'épouse. Dans ces conditions, l'autorité cantonale aurait pu renoncer à augmenter le minimum vital du mari d'un certain pourcentage ( ATF 123 III 1 consid. 3b/bb p. 4/5; Lüchinger/Geiser, Commentaire bâlois, n. 10 ad art. 152 CC ). Quoi qu'il en soit, elle a abusé de son pouvoir d'appréciation en limitant le montant de la pension à 1'000 fr. par mois, pour le motif que le débirentier avait deux enfants à sa charge: selon l'arrêt entrepris, les frais relatifs à leur entretien ont été pris en compte dans le calcul du minimum vital du débirentier; de plus, la recourante a été condamnée à verser des contributions en leur faveur. Au regard de toutes les circonstances de l'espèce, il se justifie de fixer à 1'150 fr. par mois le montant de la pension due à l'épouse, nonobstant les arguments soulevés par le recourant dans son mémoire de réponse: l'arrêt de renvoi du 18 juin 1999 ne retient en effet aucun chiffre s'agissant de la quotité de la rente. En outre, le montant de 1'150 fr. par mois respecte le minimum vital du débirentier, de surcroît augmenté de 20%. Il va de soi que si, à l'avenir, l'épouse parvient à trouver du travail en raison notamment de l'amélioration de la conjoncture ou perçoit une rente d'invalidité, et que ses ressources sont telles qu'elle ne se trouve plus dans le dénuement, cette décision pourrait être revue dans le cadre d'une action en modification de jugement, pour autant que les conditions en soient remplies.</w:t>
      </w:r>
    </w:p>
    <w:p>
      <w:r>
        <w:rPr>
          <w:b/>
        </w:rPr>
        <w:t>E. 4</w:t>
      </w:r>
    </w:p>
    <w:p>
      <w:r>
        <w:t>En conclusion, le recours principal doit être partiellement admis et le recours joint rejeté, dans la mesure où il est recevable. Cela étant, la requête d'assistance judiciaire de la défenderesse peut être admise ( art. 152 OJ ). En ce qui concerne le recours principal, la défenderesse n'obtient que 150 fr. sur les 500 fr. de plus qu'elle réclamait. Elle l'emporte toutefois sur le principe d'une augmentation du montant de la pension. Il se justifie dès lors de mettre les frais de justice pour moitié à la charge de chacune des parties, la part de la défenderesse étant toutefois supportée provisoirement par la Caisse du Tribunal fédéral, et de compenser les dépens. L'émolument judiciaire relatif au recours joint sera mis à la charge du demandeur, qui succombe entièrement. Il n'y a pas lieu de le condamner à verser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