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5C.325/2001 vom 4. März 2002</w:t>
      </w:r>
    </w:p>
    <w:p>
      <w:r>
        <w:t>Bundesgericht, 2002-03-04, DE</w:t>
      </w:r>
    </w:p>
    <w:p>
      <w:r>
        <w:rPr>
          <w:b/>
        </w:rPr>
        <w:t xml:space="preserve">Quelle: </w:t>
      </w:r>
      <w:r>
        <w:t>https://mcp.opencaselaw.ch/entscheid/bger_5C.325_2001</w:t>
      </w:r>
    </w:p>
    <w:p>
      <w:r>
        <w:t>FR: TF 5C.325/2001 du 4 mars 2002</w:t>
      </w:r>
    </w:p>
    <w:p>
      <w:r>
        <w:t>IT: TF 5C.325/2001 del 4 marzo 2002</w:t>
      </w:r>
    </w:p>
    <w:p>
      <w:pPr>
        <w:pStyle w:val="Heading2"/>
      </w:pPr>
      <w:r>
        <w:t>Regeste</w:t>
      </w:r>
    </w:p>
    <w:p>
      <w:r>
        <w:t>Familienrecht</w:t>
      </w:r>
    </w:p>
    <w:p>
      <w:pPr>
        <w:pStyle w:val="Heading2"/>
      </w:pPr>
      <w:r>
        <w:t>Erwägungen</w:t>
      </w:r>
    </w:p>
    <w:p>
      <w:r>
        <w:rPr>
          <w:b/>
        </w:rPr>
        <w:t>E. 4</w:t>
      </w:r>
    </w:p>
    <w:p>
      <w:r>
        <w:t>Die ungeteilte Zuweisung gemäss Art. 205 Abs. 2 ZGB setzt nicht nur voraus, dass der übernahmewillige Ehegatte ein überwiegendes Interesse am Vermögenswert in gemeinschaftlichem Eigentum nachweist, sondern auch dass er den andern Ehegatten für seinen Anteil entschädigt. Dass die Beklagte ein erhebliches Interesse an der Übernahme hat, ist vor Obergericht unbestritten geblieben, zumal die Beklagte die Liegenschaft mit den ihr unterstellten Kindern als Familienwohnung benützt (E. 4.2.3 S. 23 f.); die Ausführungen in der Berufungsschrift dazu zielen an der Sache vorbei. Das Obergericht hat dafürgehalten, dass auch das Interesse des Klägers zu berücksichtigen sei, der die Versteigerung verlangt, und dass dieses Interesse überwiege, wenn die Beklagte die Entschädigung für die ungeteilte Übernahme nicht erbringen kann (E. 4.2.3 S. 23 unter Verweis auf Hausheer/Reusser/ Geiser, Berner Kommentar, 1992, N. 49 zu Art. 205 ZGB ). Das Bundesgericht teilt die Auffassung, dass eine Interessenabwägung vorzunehmen und dabei auch ein Interesse rein finanzieller Art einzubeziehen ist. Es hat dies in einem mit dem vorliegenden insofern übereinstimmenden Fall entschieden, als dort ebenfalls der eine Ehegatte die ungeteilte Zuweisung, der andere hingegen die öffentliche Versteigerung beantragte ( BGE 119 II 197 E. 2 und E. 3c S. 199 f.). Folgerichtig ist auch, dass die Interessenabwägung zwangsläufig zu Gunsten des andern Ehegatten lauten muss, wenn der übernahmewillige Ehegatte die Entschädigung nicht leisten kann. Die Lösung mag im Einzelfall zwar als hart erscheinen, beruht aber auf der gesetzlichen Konzeption: Als dritte Art der Aufhebung von gemeinschaftlichem Eigentum (E. 3 hiervor) darf die ungeteilte Zuweisung an den einen Ehegatten den andern Ehegatten im Grundsatz nicht schlechter stellen als die körperliche Teilung der Sache oder deren Versteigerung; in allen drei Fällen muss ein wertmässiger Ausgleich erfolgen, bestehe er nun im anteilsmässigen Erlös (Versteigerung), in einem neuen Vermögensgegenstand (körperliche Teilung) oder eben in der Entschädigung (ungeteilte Zuweisung). Rechtsprechung und Lehre stimmen überein: Der Zuweisungsanspruch kann nur gegen volle, d.h. - landwirtschaftliche Grundstücke vorbehalten - auf dem Verkehrswert beruhende Entschädigung des andern Ehegatten gutgeheissen werden ( BGE 119 II 197 E. 3c S. 200/ 201; Hausheer, N. 17 zu Art. 205 ZGB ); auf die Entschädigung sind Schulden des andern Ehegatten anzurechnen, die bei der ungeteilten Zuweisung allenfalls übernommen werden (Näf-Hofmann, Schweizerisches Ehe- und Erbrecht, Zürich 1998, N. 879 S. 256 mit dem Beispiel der Zwangsvollstreckung). Der Einwand der Beklagten, das Interesse des Klägers sei von vornherein nicht schützenswert, weil er die Versteigerung verlangt, ist nach dem Gesagten unbegründet. Dass das finanzielle Interesse des Klägers an der Versteigerung hier überwiegt, kann nicht als bundesrechtswidrig beanstandet werden. Wie das Obergericht zu Recht angenommen hat, besteht das Interesse des Klägers nicht in einem Barerlös, sondern angesichts der prekären finanziellen Verhältnisse beider Parteien in der Entlassung aus der Solidarhaft für die auf der Liegenschaft lastenden Grundpfandschulden. Deren alleinige Übernahme durch die Beklagte ist wirtschaftlich nicht möglich und wurde von der Gläubigerbank ausdrücklich abgelehnt, die auch die Befreiung des Klägers von der Solidarhaft zur Zeit für ausgeschlossen erklärt hat. Auf Grund dieser Feststellungen über tatsächliche Verhältnisse ( Art. 63 Abs. 2 OG ) ist die Befürchtung entgegen der Annahme der Beklagten begründet, "dass diese früher oder später den mit dem Grundstück verbundenen finanziellen Verpflichtungen (Zinsen, Amortisationen und Grundverbilligungszuschüsse) nicht mehr wird nachkommen können und demzufolge im gegebenen Zeitpunkt tatsächlich in heute noch unbekannter Höhe auf den Gesuchsteller (scil. Kläger) zurückgegriffen würde" (E. 4.2.3 S. 25 des obergerichtlichen Urteils). Die Höhe der Grundpfandschulden entspricht ungefähr dem zu erwartenden Verkaufserlös, so dass die gesetzlich geforderte Entschädigung - vom unangefochtenen Rückerstattungsanspruch des Klägers von Fr. 16'224. 35 abgesehen (E. 4.3 S. 26 des obergerichtlichen Urteils) - der Entlassung des Klägers aus der Schuldpflicht gleichkäme. Eine derartige Befreiung ist nach den verbindlichen Feststellungen ausgeschlossen, weshalb eine ungeteilte Zuweisung abgelehnt werden musste. In das auf Ermessen beruhende Urteil des Obergerichts einzugreifen, besteht kein Anlass (vgl. Art. 4 ZGB und dazu BGE 119 II 197 E. 2 S. 199).</w:t>
      </w:r>
    </w:p>
    <w:p>
      <w:r>
        <w:rPr>
          <w:b/>
        </w:rPr>
        <w:t>E. 5</w:t>
      </w:r>
    </w:p>
    <w:p>
      <w:r>
        <w:t>Aus den dargelegten Gründen sind die Voraussetzungen für eine ungeteilte Zuweisung nach Art. 205 Abs. 2 ZGB nicht erfüllt. Mit der Abweisung der Berufung wird die Beklagte kostenpflichtig ( Art. 156 Abs. 1 OG ). Ihrem Gesuch um unentgeltliche Rechtspflege kann wegen Aussichtslosigkeit der Rechtsbegehren nicht entsprochen werden. Auf die von ihr aufgeworfenen Rechtsfragen findet sich in der veröffentlichten Rechtsprechung des Bundesgerichts eine Antwort, deren Richtigkeit von der herrschenden Lehre nicht angezweifelt wird, und der Ausgang der Interessenabwägung ist durch die wirtschaftliche Mangellage unausweichlich vorbestimmt gewesen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