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5C.29/2000 vom 19. September 2000</w:t>
      </w:r>
    </w:p>
    <w:p>
      <w:r>
        <w:t>Bundesgericht, 2000-09-19, DE</w:t>
      </w:r>
    </w:p>
    <w:p>
      <w:r>
        <w:rPr>
          <w:b/>
        </w:rPr>
        <w:t xml:space="preserve">Quelle: </w:t>
      </w:r>
      <w:r>
        <w:t>https://mcp.opencaselaw.ch/entscheid/bger_5C.29_2000</w:t>
      </w:r>
    </w:p>
    <w:p>
      <w:r>
        <w:t>FR: TF 5C.29/2000 du 19 septembre 2000</w:t>
      </w:r>
    </w:p>
    <w:p>
      <w:r>
        <w:t>IT: TF 5C.29/2000 del 19 settembre 2000</w:t>
      </w:r>
    </w:p>
    <w:p>
      <w:pPr>
        <w:pStyle w:val="Heading2"/>
      </w:pPr>
      <w:r>
        <w:t>Regeste</w:t>
      </w:r>
    </w:p>
    <w:p>
      <w:r>
        <w:t>Schuldbetreibungs- und Konkursrecht</w:t>
      </w:r>
    </w:p>
    <w:p>
      <w:pPr>
        <w:pStyle w:val="Heading2"/>
      </w:pPr>
      <w:r>
        <w:t>Erwägungen</w:t>
      </w:r>
    </w:p>
    <w:p>
      <w:r>
        <w:rPr>
          <w:b/>
        </w:rPr>
        <w:t>E. 4</w:t>
      </w:r>
    </w:p>
    <w:p>
      <w:r>
        <w:t>Art. 754 Abs. 1 OR bestimmt, dass die Mitglieder des Verwaltungsrates sowohl der Gesellschaft als auch den einzelnen Aktionären und Gesellschaftsgläubigern für den Schaden verantwortlich sind, den sie durch absichtliche oder fahrlässige Verletzung ihrer Pflichten verursachen. a) Die Vorinstanz erwog, dass die Beklagten im Zeitpunkt der Rückzahlung des Restdarlehens begründete Besorgnis einer Überschuldung gehabt haben bzw. gehabt haben mussten. Unter diesen Umständen sei die Rückzahlung des Restdarlehens an die Beklagte 1 pflichtwidrig gewesen, umso mehr als dafür ein neuer Kredit habe beansprucht werden müssen. Die Beklagten sind der Auffassung, dass durch die Restamortisation des Darlehens gar kein Schaden eingetreten sei und dass den Verwaltungsräten auch keine Pflichtverletzung vorgeworfen werden könne. b) Zunächst ist zu prüfen, ob die Restamortisation des Darlehens den Beklagten als Verletzung ihrer Pflichten als Verwaltungsräte der A.________ AG anzulasten ist. aa) Wenn sich bei einem Unternehmen ein starker Kapitalverlust oder eine Überschuldung abzeichnet, wenn unabwendbare Liquiditätsengpässe bestehen oder das Unternehmen seinen Verpflichtungen nicht mehr vertragskonform nachzukommen vermag und eine Sanierung praktisch als aussichtslos erscheint, bestehen ernsthafte Zweifel, dass die Fortführung des Unternehmens noch möglich ist. In einer solchen Situation rechtfertigt sich die Bilanzierung zu Fortführungswerten nicht mehr; vielmehr wird die Bilanzierung zu Veräusserungswerten aktuell, weil die Liquidation nicht deshalb verzögert werden darf, weil nach der zu Fortführungswerten erstellten - und damit praktisch belanglosen - Bilanz keine Überschuldung ausgewiesen ist (Peter Böckli, Schweizer Aktienrecht, Zürich 1996, N 840 und 1680a; Franz Broger, Fortführung der Unternehmenstätigkeit (going concern), in: Der Schweizer Treuhänder 1994, S. 711 ff.; Lukas Handschin, Die Pflichten und die Verantwortlichkeit des Verwaltungsrates im Sanierungsfall, ZBJV 2000, S. 436 ff.). Während bei einer aufrechtstehenden Gesellschaft fällige Schulden ohne weiteres bezahlt werden dürfen, verhält es sich dann anders, wenn sich eine Gesellschaft in einer wirtschaftlichen und finanziellen Situation befindet, in welcher zu Liquidationswerten bilanziert werden muss und daraus eine Überschuldung der Gesellschaft resultiert; diesfalls habe die Gläubiger nach Massgabe der gesetzlichen Rangordnung gemäss Art. 219 SchKG Anspruch auf Gleichbehandlung. Jede bevorzugte Befriedigung eines Gläubigers stellt eine Pflichtverletzung dar. bb) Wie bereits erwähnt hat die Vorinstanz verbindlich festgestellt, dass "dem Verwaltungsrat der A.________ AG spätestens Ende 1994/anfangs 1995 bewusst sein musste, dass eine äusserst kritische finanzielle Situation" vorgelegen habe (vgl. Erw. 3c). In den folgenden Monaten hatte sich die Situation weiter verschärft. Nach den Feststellungen der Vorinstanz waren den Beklagten 1 und 2 im Zeitpunkt der Restamortisation des Darlehens am 26. April 1995 die Jahresrechnung 1994 vom 24. März 1995 bekannt. Die Revisionsstelle kam diesbezüglich in ihrem Bericht vom 29. Mai 1995 zu folgenden Schlüssen: "Die Bewertung erfolgte ... zu Fortführungswerten. Wie aus dem Anhang zur Jahresrechnung hervorgeht, hat die Gesellschaft im Geschäftsjahr 1994 effektiv einen sehr hohen Verlust von 8,2 Mio. Franken erlitten. Aufgrund des Budgets 1995 und angesichts der im laufenden Geschäftsjahr nochmals stark gesunkenen Wechselkurse der für A.________ AG wichtigsten Währungen muss davon ausgegangen werden, dass nochmals ein sehr hoher Verlust anfallen wird. Diese Verluste lassen berechtigte Zweifel an der Überlebensfähigkeit der Gesellschaft aufkommen. Der andauernde Geldabfluss führt zudem - ohne Erschliessung neuer Finanzquellen - unweigerlich zur kurz bevorstehenden Zahlungsunfähigkeit. " Weiter führte die Revisionsstelle aus, eine zu Liquidationswerten erstellte Bilanz "würde sicher eine Überschuldung zeigen", und wies auf Art. 725 Abs. 2 OR hin. Dass den Beklagten 1 und 2 der Bericht der Revisionsstelle erst Ende Mai 1995 zur Verfügung stand, ändert nichts daran, dass sie über die relevanten Informationen - namentlich Bilanz und Jahresrechnung 1994 - im Zeitpunkt der Restamortisation bereits verfügten. Mit einer Entschärfung der kritischen Situation war nicht zu rechnen, war doch im Gegenteil gemäss dem Revisionsstellenbericht eine Verschlimmerung zu erwarten. Im März und April 1995 hatten Besprechungen mit der SBG stattgefunden, an denen es u.a. um die Benützung der Kreditlimite ging. Im selben Zeitraum erfolgten Rangrücktritte gegenüber den deutschen bzw. österreichischen Gruppengesellschaften. Im April sprach die Beklagte 1 bei der CS vor und sandte dieser eine Liste der am Dringendsten zu bezahlenden Kreditoren. Am 27. April 1995, am Tage nach der umstrittenen Kreditrückzahlung, einigten sich die Beteiligten, die Banken zu einem Meeting einzuladen, an welchem der Beklagte 2 zusätzliche Liquidität von 20 Mio. verlangte. Ihrerseits waren die Beklagten aber zu keinen weiteren finanziellen Beiträgen an eine Sanierung bereit, obwohl sie wussten, dass die Banken nur im Rahmen einer ernsthaften Sanierung zu weiteren Kreditvergaben bereit sein würden, sobald sie im Besitz des Jahresabschlusses 1994 sein würden. Dass den Beklagten der Ernst der Situation bekannt war, geht auch daraus hervor, dass der Beklagte 2 zur Beklagten 1 gesagt haben soll, dass der Konkurs angemeldet oder um Nachlassstundung ersucht werden müsse, wenn die Banken die bestehenden Kreditlinien nicht innerhalb weniger Tage freigeben würden. cc) Waren bei dieser wirtschaftlichen Situation des Unternehmens ernsthafte Sanierungsbestrebungen in keiner Weise in Angriff genommen worden, die Banken seit Monaten sensibilisiert, die Einräumung zusätzlicher Kredite nicht zu erwarten und vielmehr mit der konkreten Gefahr von Kreditkündigungen zu rechnen, so fiel im Zeitpunkt der Restamortisation eine dauerhafte Fortsetzung der gesellschaftlichen Tätigkeit nicht mehr ernsthaft in Betracht. Damit hätten die Beklagten 1 und 2 aber spätestens nach Kenntnis der Jahresrechnung vom 24. März 1995, die sie laut Vorinstanz spätestens Anfang April 1995 erlangt hatten, zu Liquidationswerten bilanzieren müssen, wenn sie ihren Pflichten als Verwaltungsräte hätten nachkommen wollen. Mit der Umstellung der Bilanzierung auf Liquidationswerte müssen in aller Regel massive Wertkorrekturen nach unten vorgenommen werden. Eine Ausnahme gilt allenfalls, wenn das Unternehmen als Ganzes veräussert werden kann. Entsprechende Bestrebungen waren aber im vorliegenden Fall gescheitert. Einen höheren Liquidations- als Fortführungswert weisen unter Umständen noch nicht aufgewertete (vgl. Art. 670 OR ) Grundstücke auf, wobei vorliegend zu beachten ist, dass nach dem Zusammenbruch des Immobilienmarkts nicht mehr grundsätzlich von einem Ansteigen der Grundstückspreise ausgegangen werden konnte (vgl. BGE 125 III 1 E. 5c S. 7) und zudem die Grundstücke der A.________ AG schwer veräusserlich waren. Die Revisionsstelle nahm denn auch in ihrem Kurzbericht vom 11. Mai 1995 an, dass die Immobilienwerte im Falle einer Umstellung auf Veräusserungswerte tiefer zu veranschlagen wären als bisher. Sie errechnete nach Liquidationswerten eine Überschuldung von rund 74 Mio. Franken. Auch wenn jener Bericht den Beklagten 1 und 2 am 26. April 1995 noch nicht vorlag, so musste ihnen jedenfalls bewusst sein, dass die Veräusserungsbilanz eine massive Überschuldung ausweisen würde. Angesichts ihrer verwaltungsrätlichen Pflicht, über die finanzielle Situation der Gesellschaft im Bild zu sein, könnten sie sich nicht damit entlasten, diesen Umstand nicht erkannt zu haben. Mit der Notwendigkeit, massive Wertberichtigungen nach unten vorzunehmen, war die begründete Besorgnis einer entsprechenden Überschuldung manifest und die Überschuldungsanzeige an den Richter ( Art. 725 Abs. 2 OR ) stand unabweislich im Raume. Unter diesen Umständen liessen sich aber die Beklagten 1 und 2 mit der umstrittenen Restamortisation eine Verletzung des Gebots, die Gläubiger gleich zu behandeln, zu Schulden kommen. c) Damit ist ohne weiteres auch davon auszugehen, dass die Darlehensrückzahlung zu einer Schädigung der Gläubiger führte. Der Einwand der Beklagten, dass den anderen Gläubigern kein Schaden entstanden sei, weil der Verminderung der Aktiven eine entsprechende Verminderung der Passiven gegenüber gestanden habe, überzeugt nicht. Die Schädigung der Gläubiger besteht darin, dass durch die vollumfängliche Tilgung einer einzelnen Schuld und der damit einhergehenden Verminderung des Verwertungssubstrates die Werthaltigkeit ihrer Forderungen beeinträchtigt wurde. Diesfalls ist die Konkursverwaltung befugt, durch Verantwortlichkeitsklage das zur Masse gehörende Vermögen im Interesse der Gesamtheit der Gesellschaftsgläubiger erhältlich zu machen ( Art. 757 Abs. 1 Satz 2 OR ; BGE 117 II 432 E. 1b/ee S. 439). d) Ergibt sich, dass den Beklagten ein pflichtwidriges Verhalten vorzuwerfen ist, das adäquat kausal zur Schädigung von Gläubigern führte, hat das Obergericht zu Recht auch die Verantwortlichkeitsklage gutgeheissen und die Beklagten 1 und 2 dazu verpflichtet, unter solidarischer Haftbarkeit der Konkursmasse der A.________ AG Fr. 521'870. 80 zuzügl. Zins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