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5C.297/2006 vom 8. März 2007</w:t>
      </w:r>
    </w:p>
    <w:p>
      <w:r>
        <w:t>Bundesgericht, 2007-03-08, FR</w:t>
      </w:r>
    </w:p>
    <w:p>
      <w:r>
        <w:rPr>
          <w:b/>
        </w:rPr>
        <w:t xml:space="preserve">Quelle: </w:t>
      </w:r>
      <w:r>
        <w:t>https://mcp.opencaselaw.ch/entscheid/bger_5C.297_2006</w:t>
      </w:r>
    </w:p>
    <w:p>
      <w:r>
        <w:t>FR: TF 5C.297/2006 du 8 mars 2007</w:t>
      </w:r>
    </w:p>
    <w:p>
      <w:r>
        <w:t>IT: TF 5C.297/2006 del 8 marzo 2007</w:t>
      </w:r>
    </w:p>
    <w:p>
      <w:pPr>
        <w:pStyle w:val="Heading2"/>
      </w:pPr>
      <w:r>
        <w:t>Erwägungen</w:t>
      </w:r>
    </w:p>
    <w:p>
      <w:r>
        <w:rPr>
          <w:b/>
        </w:rPr>
        <w:t>E. 1</w:t>
      </w:r>
    </w:p>
    <w:p>
      <w:r>
        <w:t>Le Tribunal fédéral examine d'office et librement la recevabilité des recours qui lui sont soumis ( ATF 132 III 291 consid. 1 p. 292; 131 II 58 consid. 1 p. 60).</w:t>
      </w:r>
    </w:p>
    <w:p>
      <w:r>
        <w:t>L'arrêt attaqué ayant été rendu avant l'entrée en vigueur, le 1er janvier 2007 (RO 2006 1242), de la loi fédérale sur le Tribunal fédéral du 17 juin 2005 (LTF; RS 173.110), l'ancienne loi d'organisation judiciaire (OJ) est applicable à la présente cause ( art. 132 al. 1 LTF ).</w:t>
      </w:r>
    </w:p>
    <w:p>
      <w:r>
        <w:rPr>
          <w:b/>
        </w:rPr>
        <w:t>E. 1.1</w:t>
      </w:r>
    </w:p>
    <w:p>
      <w:r>
        <w:t>Interjeté en temps utile contre une décision finale rendue par l'autorité suprême du canton, dans une contestation civile de nature pécuniaire dont la valeur atteint manifestement 8'000 fr., le recours est recevable au regard des art. 46, 48 al. 1 et 54 al. 1 OJ.</w:t>
      </w:r>
    </w:p>
    <w:p>
      <w:r>
        <w:rPr>
          <w:b/>
        </w:rPr>
        <w:t>E. 1.2</w:t>
      </w:r>
    </w:p>
    <w:p>
      <w:r>
        <w:t>La recourante conclut principalement à ce que le Tribunal fédéral ordonne, en application de l' art. 122 CC , le versement à elle-même d'une somme de 85'935 fr. par le débit du compte de prévoyance professionnelle de l'intimé. Ce chef de conclusions est en tant que tel irrecevable. D'une part, la recourante ne précise pas à qui le versement doit être ordonné. D'autre part, en l'absence d'entente entre les parties et l'institution de prévoyance ( art. 141 CC ), les tribunaux civils ne statuent que sur la proportion dans laquelle les prestations de sortie doivent être partagées et il appartient au juge compétent en vertu de la loi du 17 décembre 1993 sur le libre passage de décider du montant à transférer ( art. 142 al. 1 et 2 CC ).</w:t>
      </w:r>
    </w:p>
    <w:p>
      <w:r>
        <w:t>L' art. 55 al. 1 let. b OJ prescrit que l'acte de recours doit contenir l'indication exacte des points attaqués de la décision et des modifications demandées. Selon la jurisprudence relative à cette disposition, les conclusions doivent être interprétées sur le vu de la motivation du recours (cf. notamment ATF 106 II 176 in fine et les arrêts cités; 99 II 176 consid. 2 in principio p. 181; Poudret/Sandoz-Monod, Commentaire de la loi fédérale d'organisation judiciaire, vol. II, n. 1.4.1 p. 419 et n. 1.4.1.3 p. 421). En l'espèce, il ressort clairement du recours que la recourante veut obtenir que la prestation de sortie de l'intimé soit partagée par moitié entre les parties. Ainsi, il est possible d'interpréter la conclusion principale de la recourante dans ce sens.</w:t>
      </w:r>
    </w:p>
    <w:p>
      <w:r>
        <w:rPr>
          <w:b/>
        </w:rPr>
        <w:t>E. 1.3</w:t>
      </w:r>
    </w:p>
    <w:p>
      <w:r>
        <w:t>Autant que la recourante dénonce - ce qui n'est pas clair - la mauvaise application du droit étranger, son recours est irrecevable dès lors qu'on est en présence d'une affaire pécuniaire ( art. 43a al. 2 OJ a contrario).</w:t>
      </w:r>
    </w:p>
    <w:p>
      <w:r>
        <w:rPr>
          <w:b/>
        </w:rPr>
        <w:t>E. 1.4</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régulièrement allégués ( art. 64 OJ ; ATF 130 III 102 consid. 2.2 p. 106; 127 III 248 consid. 2c p. 552). En dehors de ces exceptions, les griefs dirigés contre les constatations de fait - ou l'appréciation des preuves à laquelle s'est livrée l'autorité cantonale ( ATF 132 III 1 consid. 3.1 p. 5; 130 III 136 consid. 1.4 p. 140; 129 III 320 consid. 6.3 p. 327, 618 consid. 3 p. 620; 128 III 271 consid. 2b/aa p. 277; 127 III 543 consid. 2c p. 547) - et les faits ou moyens de preuve nouveaux sont irrecevables ( art. 55 al. 1 let . c OJ).</w:t>
      </w:r>
    </w:p>
    <w:p>
      <w:r>
        <w:t>Comme la recourante ne fait valoir aucune des exceptions susmentionnées, le Tribunal fédéral fondera son arrêt sur les faits tels que retenus par l'autorité cantonale suprême.</w:t>
      </w:r>
    </w:p>
    <w:p>
      <w:r>
        <w:rPr>
          <w:b/>
        </w:rPr>
        <w:t>E. 2</w:t>
      </w:r>
    </w:p>
    <w:p>
      <w:r>
        <w:t>La compétence des tribunaux suisses ne fait pas de doute au regard de l' art. 59 let. b LDIP : le demandeur était domicilié à Genève depuis plus d'une année avant l'ouverture de l'action. En vertu de l' art. 63 al. 1 LDIP , les tribunaux suisses compétents pour connaître d'une action en divorce le sont également pour se prononcer sur les effets accessoires. Les parties ne le contestent du reste pas.</w:t>
      </w:r>
    </w:p>
    <w:p>
      <w:r>
        <w:rPr>
          <w:b/>
        </w:rPr>
        <w:t>E. 3</w:t>
      </w:r>
    </w:p>
    <w:p>
      <w:r>
        <w:t>La question du droit applicable au sort de la prestation de sortie LPP du mari est en l'occurrence litigieuse.</w:t>
      </w:r>
    </w:p>
    <w:p>
      <w:r>
        <w:rPr>
          <w:b/>
        </w:rPr>
        <w:t>E. 3.1</w:t>
      </w:r>
    </w:p>
    <w:p>
      <w:r>
        <w:t>Selon l' art. 61 LDIP , le divorce et la séparation de corps sont régis par le droit suisse (al. 1). Toutefois, lorsque les époux ont une nationalité étrangère commune et qu'un seul est domicilié en Suisse, leur droit national commun est applicable (al. 2). Les effets accessoires du divorce sont régis par le droit national applicable au divorce. Sont réservées les dispositions de la LDIP relatives au nom, à l'obligation alimentaire entre époux, au régime matrimonial, aux effets de la filiation et à la protection des mineurs ( art. 63 al. 2 LDIP ). Le partage de la prestation de sortie de la prévoyance professionnelle ne tombe pas sous la réserve spéciale en faveur des dispositions relatives à l'obligation d'entretien ou au régime matrimonial ( ATF 131 III 289 consid. 2.4 p. 291). Cependant, la clause d'exception de l' art. 15 LDIP permet exceptionnellement au juge de ne pas appliquer le droit auquel renvoie une règle sur les conflits de loi lorsque, au regard de l'ensemble des circonstances, il est manifeste que la cause n'a qu'un lien très lâche avec ce droit, et qu'elle se trouve dans une relation beaucoup plus étroite avec un autre droit. L'application de la clause d'exception a lieu d'office; elle ne dépend pas de l'appréciation du juge. Selon la jurisprudence, il faut y recourir de manière restrictive. Elle ne doit notamment pas permettre d'éviter les conséquences indésirables du droit matériel ( ATF 131 III 289 consid. 2.5 p. 292).</w:t>
      </w:r>
    </w:p>
    <w:p>
      <w:r>
        <w:t>Dans l'arrêt paru aux ATF 131 III 289 ss, relatif au complètement d'un jugement de divorce français concernant le sort de la prestation de sortie de la prévoyance professionnelle, le Tribunal fédéral a jugé que les circonstances de la cause avaient un lien beaucoup plus étroit avec le droit suisse qu'avec le droit français, pour les motifs suivants: les parties, de nationalité suisse, s'étaient mariées en 1983 et avaient d'abord vécu en Suisse, avant de s'établir en France à partir de 1989. Le mari avait continué de travailler en Suisse et était affilié à une institution de prévoyance suisse depuis 1980. L'épouse s'était occupée de leurs deux enfants et avait tenu le ménage. Elle n'avait pas exercé d'activité professionnelle lucrative pendant le mariage et n'avait pas pu, de ce fait, se constituer de prévoyance vieillesse. Si l'on considérait la longue durée du mariage des parties, soit dix-huit ans, l'activité exercée en Suisse depuis de nombreuses années par le mari, de même que l'obligation y afférente d'affiliation à une institution de prévoyance en Suisse et, enfin, l'absence de prévoyance complémentaire sous la forme d'une assurance volontaire ou de la constitution d'un capital approprié, les avoirs de l'époux auprès de sa caisse de pension étaient sans aucun doute déterminants pour lui et sa famille sur le plan de la prévoyance. Le fait que les parties aient vécu durant plusieurs années en France ne suffisait pas pour créer une relation étroite avec le droit français concernant la question du partage des prestations de sortie. Par conséquent, les conditions de l' art. 15 LDIP étaient remplies et ladite question devait être réglée selon le droit suisse.</w:t>
      </w:r>
    </w:p>
    <w:p>
      <w:r>
        <w:rPr>
          <w:b/>
        </w:rPr>
        <w:t>E. 3.2</w:t>
      </w:r>
    </w:p>
    <w:p>
      <w:r>
        <w:t>La Cour de justice a estimé que la présente espèce différait de la cause susmentionnée en ce sens que les seuls liens existants avec la Suisse consistaient dans le lieu de résidence et de travail du mari, l'avoir de prévoyance qu'il avait accumulé auprès d'une caisse de pension suisse et l'introduction de la procédure de divorce en Suisse. Elle en a conclu que l' art. 15 LDIP ne pouvait s'appliquer au cas particulier. Or le droit espagnol ne permettait pas le partage de l'avoir de libre passage accumulé pendant le mariage par le mari.</w:t>
      </w:r>
    </w:p>
    <w:p>
      <w:r>
        <w:t>La recourante soutient que la clause d'exception de l' art. 15 LDIP est en l'occurrence applicable. Elle prétend que les circonstances du cas particulier sont, à beaucoup d'égards, similaires à celles de l'affaire traitée dans l'arrêt du Tribunal fédéral précité, et relève sur ce point la longue durée du mariage (à savoir trente-sept ans), le travail du mari en Suisse dès 1983, l'obligation de celui-ci de cotiser à une institution de prévoyance professionnelle suisse, le fait qu'elle ait élevé quatre enfants et tenu le ménage pendant le mariage, son propre manque de prévoyance vieillesse et l'absence de prévoyance complémentaire. Elle expose en outre que les avoirs du mari auprès de sa caisse de pension présentent un caractère déterminant pour lui et sa famille sur le plan de la prévoyance et que la nationalité commune espagnole des parties, ainsi que les quelques années durant lesquelles ils ont résidé ensemble en Espagne, ne sont pas suffisantes pour créer une relation étroite avec le droit espagnol en ce qui concerne le partage de la prestation de sortie de l'intimé.</w:t>
      </w:r>
    </w:p>
    <w:p>
      <w:r>
        <w:rPr>
          <w:b/>
        </w:rPr>
        <w:t>E. 3.3</w:t>
      </w:r>
    </w:p>
    <w:p>
      <w:r>
        <w:t>La présente affaire est comparable à l'arrêt paru aux ATF 131 II 289 s'agissant des points décisifs, à savoir la longue durée du mariage - en l'espèce plus de trente-cinq ans contre dix-huit dans l'arrêt susmentionné -, le travail en Suisse du mari depuis de longues années et l'obligation y afférente d'affiliation à une caisse de pension, le fait que l'épouse se soit chargée de l'éducation des enfants - ici non pas seulement deux mais quatre - et de la tenue du ménage, de sorte qu'elle n'a pas exercé d'activité professionnelle lucrative, ainsi que l'absence de prévoyance complémentaire sous forme d'une assurance volontaire ou de la constitution d'un capital approprié, le montant que la recourante a reçu en 2001 au titre de la liquidation du régime matrimonial et en tant que contribution d'entretien ne pouvant être considéré comme tel. Il apparaît ainsi clairement que les avoirs du mari auprès de sa caisse de pension étaient déterminants pour lui et sa famille sur le plan de la prévoyance. Dans ces circonstances, le sort de la prestation de sortie de l'intimé relève du droit suisse, cette question étant en relation particulièrement étroite avec celui-ci, la nationalité espagnole des parties ne pouvant parler en défaveur de la clause d'exception.</w:t>
      </w:r>
    </w:p>
    <w:p>
      <w:r>
        <w:t>Sur le vu de ce qui précède, il convient, en application de l' art. 64 al. 1 OJ , de renvoyer le dossier à la Cour de justice pour qu'elle procède selon l' art. 142 CC et statue à nouveau sur les frais et dépens cantonaux.</w:t>
      </w:r>
    </w:p>
    <w:p>
      <w:r>
        <w:rPr>
          <w:b/>
        </w:rPr>
        <w:t>E. 4</w:t>
      </w:r>
    </w:p>
    <w:p>
      <w:r>
        <w:t>Compte tenu de l'issue du litige, les frais de la procédure fédérale seront supportés par le demandeur, qui versera en outre des dépens à la défenderesse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