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5C.28/2002 vom 18. Februar 2003</w:t>
      </w:r>
    </w:p>
    <w:p>
      <w:r>
        <w:t>Bundesgericht, 2003-02-18, DE</w:t>
      </w:r>
    </w:p>
    <w:p>
      <w:r>
        <w:rPr>
          <w:b/>
        </w:rPr>
        <w:t xml:space="preserve">Quelle: </w:t>
      </w:r>
      <w:r>
        <w:t>https://mcp.opencaselaw.ch/entscheid/bger_5C.28_2002</w:t>
      </w:r>
    </w:p>
    <w:p>
      <w:r>
        <w:t>FR: TF 5C.28/2002 du 18 février 2003</w:t>
      </w:r>
    </w:p>
    <w:p>
      <w:r>
        <w:t>IT: TF 5C.28/2002 del 18 febbraio 2003</w:t>
      </w:r>
    </w:p>
    <w:p>
      <w:pPr>
        <w:pStyle w:val="Heading2"/>
      </w:pPr>
      <w:r>
        <w:t>Regeste</w:t>
      </w:r>
    </w:p>
    <w:p>
      <w:r>
        <w:t>Sachenrecht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letztinstanzlichen kantonalen Endentscheid, der nicht mehr durch ein ordentliches kantonales Rechtsmittel angefochten werden kann ( Art. 54 Abs. 1 und Art. 48 Abs. 1 OG ).</w:t>
      </w:r>
    </w:p>
    <w:p>
      <w:r>
        <w:rPr>
          <w:b/>
        </w:rPr>
        <w:t>E. 2</w:t>
      </w:r>
    </w:p>
    <w:p>
      <w:r>
        <w:t>Das Obergericht ist gestützt auf die von der Beklagten eingereichten Kontoauszüge zum Schluss gekommen, dass es bis zur Konkurseröffnung über die begünstigte Aktiengesellschaft zu keiner Reduktion des Kredits gekommen sei. Es habe nur eine Umschichtung der Schuld vom Kontokorrentkonto auf das Hypothekarkonto stattgefunden, was nicht als Rückzahlung gelten könne. Auf die Abnahme weiterer Beweismittel zu diesem Sachvorbringen, insbesondere auf die Einvernahme der von der Klägerin angerufenen Zeugen, verzichtete das Obergericht. Die Klägerin sieht darin eine Verletzung von Art. 8 ZGB .</w:t>
      </w:r>
    </w:p>
    <w:p>
      <w:r>
        <w:rPr>
          <w:b/>
        </w:rPr>
        <w:t>E. 2.1</w:t>
      </w:r>
    </w:p>
    <w:p>
      <w:r>
        <w:t>Art. 8 ZGB verleiht einen bundesrechtlichen Anspruch auf Abnahme von Beweisen, die zum Nachweis einer rechtserheblichen Tatsache frist- und formgerecht anerboten worden sind. Der Beweisführungsanspruch ist insbesondere dann verletzt, wenn der kantonale Richter über rechtserhebliche Tatsachen überhaupt nicht Beweis führen lässt ( BGE 114 II 289 E. 2 S. 290 f.; 123 III 35 E. 2b S. 40). Diese Norm bestimmt indessen nicht, mit welchen Mitteln der Sachverhalt abzuklären ist und wie der Richter das Ergebnis der Abklärungen zu würdigen hat; nicht ausgeschlossen wird dadurch eine vorweggenommene Beweiswürdigung. Art. 8 ZGB steht demnach einer bloss beschränkten Beweisabnahme nicht entgegen, wenn der Richter schon nach deren Ergebnis von der Sachdarstellung einer Partei überzeugt ist oder dafür hält, die zusätzlich beantragten Beweise vermöchten zur Klärung des Sachverhaltes nichts beitragen ( BGE 122 III 219 E. 3c S. 223; 128 III 22 E. 2d S. 25). Eine andere Frage ist, ob die Beschränkung allenfalls gegen Art. 9 BV verstösst, was jedoch mit staatsrechtlicher Beschwerde geltend zu machen wäre.</w:t>
      </w:r>
    </w:p>
    <w:p>
      <w:r>
        <w:rPr>
          <w:b/>
        </w:rPr>
        <w:t>E. 2.2</w:t>
      </w:r>
    </w:p>
    <w:p>
      <w:r>
        <w:t>Im vorliegenden Fall liegt kein offenes Beweisergebnis vor. Das Obergericht hat auf Grund der eingereichten Kontoauszüge als erwiesen betrachtet, dass keine Kreditrückzahlung erfolgt sei. Auf die Abnahme weiterer Beweismittel wurde verzichtet, weil offenbar die Aussagen der Zeugen in antizipierter Würdigung nicht als geeignet erschienen, am feststehenden Beweisergebnis etwas zu ändern. Damit liegt keine Verletzung von Art. 8 ZGB vor, womit sich die entsprechende Rüge der Klägerin als unbegründet erweist.</w:t>
      </w:r>
    </w:p>
    <w:p>
      <w:r>
        <w:rPr>
          <w:b/>
        </w:rPr>
        <w:t>E. 3</w:t>
      </w:r>
    </w:p>
    <w:p>
      <w:r>
        <w:t>Die Klägerin bringt vor, für den gewährten Kredit habe neben ihr auch der Hauptaktionär und Verwaltungsratspräsident der Aktiengesellschaft eine Sicherheit im Umfang von Fr. 100'000.-- geleistet. Dessen Sicherheit sei von der Beklagten verwertet worden, wodurch die Schuld - unter Berücksichtigung des Konkursergebnisses - getilgt sei und gegenüber der Klägerin kein Anspruch mehr bestehe.</w:t>
      </w:r>
    </w:p>
    <w:p>
      <w:r>
        <w:rPr>
          <w:b/>
        </w:rPr>
        <w:t>E. 3.1</w:t>
      </w:r>
    </w:p>
    <w:p>
      <w:r>
        <w:t>Das Obergericht führt in diesem Zusammenhang einzig aus, dass die Beklagte als Voraussetzung für ihre Kreditzusage eine Sicherheitsleistung von Fr. 200'000.-- verlangt habe, und zwar im Umfang von je Fr. 100'000.-- durch den Hauptaktionär und Verwaltungsratspräsident der Aktiengesellschaft sowie durch die Klägerin bzw. deren Sohn. Ob und inwieweit die Sicherheit des Verwaltungsratspräsidenten verwertet worden ist und sich die Beklagte daraus befriedigt hat, ergibt sich weder aus dem angefochtenen Urteil noch aus den Akten.</w:t>
      </w:r>
    </w:p>
    <w:p>
      <w:r>
        <w:rPr>
          <w:b/>
        </w:rPr>
        <w:t>E. 3.2</w:t>
      </w:r>
    </w:p>
    <w:p>
      <w:r>
        <w:t>Im Berufungsverfahren sind neue tatsächliche Vorbringen sowie neue Einreden ausgeschlossen ( Art. 55 Abs. 1 lit. c OG ). Das Bundesgericht ist an die tatsächlichen Feststellungen der letzten kantonalen Instanz gebunden, wenn sie nicht offensichtlich auf Versehen beruhen, unter Verletzung bundesrechtlicher Beweisvorschriften zustande gekommen ( Art. 63 Abs. 2 OG ) oder zu ergänzen sind ( Art. 64 OG ). Liegen solche Ausnahmen vor, so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BGE 115 II 484 E. 2a S. 485 f.; 127 III 248 E. 2c S. 252). Offensichtliches Versehen liegt zudem nur vor, wenn die Vorinstanz eine bestimmte Aktenstelle übersehen oder unrichtig, d.h. nicht in ihrer wahren Gestalt, insbesondere nicht mit ihrem wirklichen Wortlaut wahrgenommen hat ( BGE 109 II 159 E. 2b S. 162).</w:t>
      </w:r>
    </w:p>
    <w:p>
      <w:r>
        <w:rPr>
          <w:b/>
        </w:rPr>
        <w:t>E. 3.3</w:t>
      </w:r>
    </w:p>
    <w:p>
      <w:r>
        <w:t>Ein Versehen der Vorinstanz, wie die Klägerin geltend macht, kann vorliegend nicht bejaht werden. Die Frage nach der Verwertung der Sicherheit des Hauptaktionärs und Verwaltungsratspräsidenten der Aktiengesellschaft sowie das Verhältnis zwischen den beiden geleisteten Sicherheiten war vor kantonaler Instanz nicht Prozessthema. Die Klägerin weist auch nicht nach, sie habe entsprechende Sachbehauptungen und Anträge bereits im kantonalen Verfahren prozesskonform aufgestellt. Die Aktenstelle, auf welche die Klägerin hinweist, äussert sich zu den hier strittigen Punkten nicht. Folglich erweist sich das Vorbringen der Klägerin als neu und damit unzulässig. Insoweit kann daher auf die Berufung nicht eingetreten werden.</w:t>
      </w:r>
    </w:p>
    <w:p>
      <w:r>
        <w:rPr>
          <w:b/>
        </w:rPr>
        <w:t>E. 4</w:t>
      </w:r>
    </w:p>
    <w:p>
      <w:r>
        <w:t>Damit ist die Berufung abzuweisen, soweit darauf eingetreten werden kann. Bei diesem Ausgang des Verfahrens wird die Klägerin kostenpflichtig ( Art. 156 Abs. 1 OG ). Sie schuldet der Beklagten allerdings keine Parteientschädigung für das bundesgerichtliche Verfahren, zumal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