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5C.282/2001 vom 21. März 2002</w:t>
      </w:r>
    </w:p>
    <w:p>
      <w:r>
        <w:t>Bundesgericht, 2002-03-21, DE</w:t>
      </w:r>
    </w:p>
    <w:p>
      <w:r>
        <w:rPr>
          <w:b/>
        </w:rPr>
        <w:t xml:space="preserve">Quelle: </w:t>
      </w:r>
      <w:r>
        <w:t>https://mcp.opencaselaw.ch/entscheid/bger_5C.282_2001</w:t>
      </w:r>
    </w:p>
    <w:p>
      <w:r>
        <w:t>FR: TF 5C.282/2001 du 21 mars 2002</w:t>
      </w:r>
    </w:p>
    <w:p>
      <w:r>
        <w:t>IT: TF 5C.282/2001 del 21 marzo 2002</w:t>
      </w:r>
    </w:p>
    <w:p>
      <w:pPr>
        <w:pStyle w:val="Heading2"/>
      </w:pPr>
      <w:r>
        <w:t>Regeste</w:t>
      </w:r>
    </w:p>
    <w:p>
      <w:r>
        <w:t>Familienrecht</w:t>
      </w:r>
    </w:p>
    <w:p>
      <w:pPr>
        <w:pStyle w:val="Heading2"/>
      </w:pPr>
      <w:r>
        <w:t>Erwägungen</w:t>
      </w:r>
    </w:p>
    <w:p>
      <w:r>
        <w:rPr>
          <w:b/>
        </w:rPr>
        <w:t>E. 1</w:t>
      </w:r>
    </w:p>
    <w:p>
      <w:r>
        <w:t>a) Gegen den Endentscheid über die Anordnung einer Beistandschaft ist die Berufung gegeben ( Art. 44 lit. e, Art. 48 Abs. 1 OG ). Ob die Beiordnung eines amtlichen Anwalts statt eines Prozessbeistandes die sachgerechte, da mildere Massnahme darstellen würde, wie die Berufungskläger vorbringen, kann im vorliegenden Verfahren hingegen nicht geprüft werden, bildet doch eine solche Lösung nicht Gegenstand des angefochtenen Entscheides und würde sie zudem auch nicht auf Bundesrecht gründen (Art. 43 Abs. 1OG). b) Nebst der Aufhebung des angefochtenen Entscheides schliessen die Berufungskläger dahin, der Antrag der Berufungsbeklagten auf Errichtung der Beiratschaft sei abzuweisen. Die Berufungsbeklagte hält indes vor Bundesgericht am umstrittenen Antrag nicht fest, sondern verlangt einzig, die Berufung sei abzuweisen, soweit darauf einzutreten sei. Der Antrag der Berufungskläger, das Begehren der Berufungsbeklagten um Errichtung einer Beiratschaft sei abzuweisen, ist somit gegenstandslos.</w:t>
      </w:r>
    </w:p>
    <w:p>
      <w:r>
        <w:rPr>
          <w:b/>
        </w:rPr>
        <w:t>E. 2</w:t>
      </w:r>
    </w:p>
    <w:p>
      <w:r>
        <w:t>Aufl. 1997, S. 143, Rz. 50 und 51; Aschwanden, Die Behandlung des Querulanten im Zivilprozess, Diss. Zürich 1978, S. 87). e) Im Lichte dieser Ausführungen sowie der Darlegungen der Berufungskläger könnte die vom Appellationshof bestätigte Anordnung der Beistandschaft auf den ersten Blick als zu schwach und damit als unverhältnismässig qualifiziert werden, zumal die Berufungskläger das Wirken des Beistandes durchkreuzen und damit den Erfolg der Massnahme in Frage stellen können. Mit dieser rein theoretischen Überlegung kann es indes nicht sein Bewenden haben. Wohl trifft zu, dass die Berufungskläger zur Zeit der Massnahme gegenüber kritisch eingestellt sind. Zum heutigen Zeitpunkt bestehen indes aufgrund der Feststellungen des Obergerichts keine konkreten Anhaltspunkte dafür, dass sich die Berufungskläger auch in Zukunft dagegen wehren werden. Vielmehr ist durchaus vorstellbar und realistisch, dass ein von der zuständigen Behörde mit der nötigen Umsicht bestellter Beistand in der Lage ist, die Berufungskläger von weiteren Anwaltswechseln abzuhalten und so der Massnahme zum Erfolg zu verhelfen (vgl. dazu: Langenegger, a.a.O., N. 8 zu Art. 392 ZGB ). Sodann darf nicht aus den Augen verloren werden, dass es sich bei der angeordneten Massnahme um die schwächste handelt, wobei im Bedarfsfall ohne weiteres schwerere Eingriffe in die Freiheit der Berufungskläger angeordnet werden können, die im Gegensatz zur nunmehr vorgesehenen Beistandschaft die Handlungsfähigkeit mehr oder weniger einschränken (Beiratschaft nach Art. 395 ZGB ; Vormundschaft nach Art. 369 ff. ZGB ). Unter solchen Umständen darf erwartet werden, dass die Berufungskläger ihre allenfalls vorhandene anfängliche Skepsis überwinden und einem Wirken des Beistandes in ihrem wohlverstandenen Interesse Hand bieten werden. Zum heutigen Zeitpunkt kann zumindest nicht geschlossen werden, die Beistandschaft sei als Massnahme zu schwach und daher von vornherein ungeeignet, das angestrebte Ziel zu erreichen. Erweist sich die angeordnete Massnahme nach dem Gesagten mangels konkreter gegenteiliger Erfahrungen als verhältnismässig, so liegt keine Bundesrechtsverletzung vor.</w:t>
      </w:r>
    </w:p>
    <w:p>
      <w:r>
        <w:rPr>
          <w:b/>
        </w:rPr>
        <w:t>E. 3</w:t>
      </w:r>
    </w:p>
    <w:p>
      <w:r>
        <w:t>Damit ist die Berufung abzuweisen, soweit sie nicht gegenstandslos geworden ist, und das angefochtene Urteil ist zu bestätigen. Bei diesem Ausgang haben die Berufungskläger die Kosten des bundesgerichtlichen Verfahrens unter Solidarhaft zu tragen ( Art. 156 Abs. 1 und 7 OG ). Die Berufungsbeklagte, antragstellende Behörde und damit Partei im vorliegenden Verfahren (vgl. dazu BGE 86 II 213 E. 3 S. 216), ist als solche zu einer Berufungsantwort eingeladen worden und hat ihre Antwort durch einen Anwalt ausfertigen lassen. Gestützt auf Art. 159 Abs. 2 OG hätte sie somit grundsätzlich Anspruch auf eine Entschädigung. Dennoch ist ihr eine solche für das bundesgerichtliche Verfahren zu versagen. Die Berufungsbeklagte hat lediglich eine ihr obliegende Aufgabe wahrgenommen, wobei sie als Vormundschaftsbehörde in diesen Fragen durchaus als erfahren zu gelten hat. Angesichts dessen kann die Angelegenheit nicht als derart komplex bezeichnet werden, dass sich der Beizug eines Anwaltes rechtfertigte ( Art. 159 Abs. 2 OG ; Poudret/Sandoz-Monod, Commentaire de la loi d'organisation judiciaire, Bd. V, 1992, S. 159 f. N. 2 zu Art. 159 OG ). Andere Kosten, die es zu entschädigen gälte, sind nicht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