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5C.276/2002 vom 8. April 2003</w:t>
      </w:r>
    </w:p>
    <w:p>
      <w:r>
        <w:t>Bundesgericht, 2003-04-08, FR</w:t>
      </w:r>
    </w:p>
    <w:p>
      <w:r>
        <w:rPr>
          <w:b/>
        </w:rPr>
        <w:t xml:space="preserve">Quelle: </w:t>
      </w:r>
      <w:r>
        <w:t>https://mcp.opencaselaw.ch/entscheid/bger_5C.276_2002</w:t>
      </w:r>
    </w:p>
    <w:p>
      <w:r>
        <w:t>FR: TF 5C.276/2002 du 8 avril 2003</w:t>
      </w:r>
    </w:p>
    <w:p>
      <w:r>
        <w:t>IT: TF 5C.276/2002 del 8 aprile 2003</w:t>
      </w:r>
    </w:p>
    <w:p>
      <w:pPr>
        <w:pStyle w:val="Heading2"/>
      </w:pPr>
      <w:r>
        <w:t>Regeste</w:t>
      </w:r>
    </w:p>
    <w:p>
      <w:r>
        <w:t>Assurance responsabilité civile</w:t>
      </w:r>
    </w:p>
    <w:p>
      <w:pPr>
        <w:pStyle w:val="Heading2"/>
      </w:pPr>
      <w:r>
        <w:t>Erwägungen</w:t>
      </w:r>
    </w:p>
    <w:p>
      <w:r>
        <w:rPr>
          <w:b/>
        </w:rPr>
        <w:t>E. 1</w:t>
      </w:r>
    </w:p>
    <w:p>
      <w:r>
        <w:t>Les droits contestés dans la dernière - et en l'occurrence unique (art. 21 de la loi neuchâteloise d'organisation judiciaire, RSN 161.1) - instance cantonale dépassent largement la valeur d'au moins 8'000 fr. dont l' art. 46 OJ fait dépendre la recevabilité du recours en réforme dans les contestations civiles portant sur des droits de nature pécuniaire autres que ceux visés à l' art. 45 OJ . Le recours est ainsi recevable sous cet angle. Déposé en temps utile contre une décision finale prise, comme déjà dit, en dernière instance cantonale, il est également recevable du chef des art. 54 al. 1 et 48 al. 1 OJ.</w:t>
      </w:r>
    </w:p>
    <w:p>
      <w:r>
        <w:rPr>
          <w:b/>
        </w:rPr>
        <w:t>E. 2.1</w:t>
      </w:r>
    </w:p>
    <w:p>
      <w:r>
        <w:t>Contestant en premier lieu le principe de leur responsabilité dans le cas d'espèce, les défendeurs reprochent à la cour cantonale d'avoir déduit à tort de l'augmentation des risques d'accident engendrée par les conditions atmosphériques qui régnaient au moment de l'accident (pluie et fortes rafales de vent) l'existence de risques d'exploitation spéciaux excluant une libération même en cas de faute grave de la victime. Selon les défendeurs, la cour cantonale aurait confondu les risques accrus dont répond l'entreprise de chemin de fer - à raison par exemple d'arbres ou de broussailles entravant la visibilité aux passages à niveau dépourvus de barrières, ou de la vitesse d'un convoi excédant celle normalement autorisée - et les risques engendrés par les conditions atmosphériques ou par les intempéries. On ne saurait en effet considérer que l'entreprise de chemin de fer doive répondre d'un risque accru aux passages à niveau chaque fois qu'il pleut et/ou qu'il souffle des rafales de vent; semblable conclusion serait d'autant plus choquante que les conducteurs de véhicules routiers peuvent bien mieux adapter leur conduite aux conditions atmosphériques que ceux des convois ferroviaires, la loi leur faisant d'ailleurs obligation d'adapter leur vitesse, entre autres, aux conditions de la route et de la visibilité (cf. art. 32 LCR ), de même qu'aux passages à niveau (cf. art. 28 LCR ). Les défendeurs estiment qu'en l'occurrence, la victime a gravement failli aux devoirs fondamentaux de la prudence au volant, qui lui imposaient d'abord de ralentir à l'approche du passage à niveau, puis de s'arrêter devant celui-ci pour s'assurer, si nécessaire en abaissant ses vitres latérales, qu'aucun convoi ferroviaire ne s'approchait sur la voie. Étant donné que les défendeurs ne peuvent de leur côté se voir imputer aucune faute, force serait d'admettre que le comportement aberrant de la conductrice de l'automobile est constitutif d'une faute à ce point grave et déterminante dans la survenance de l'accident que le risque inhérent à l'exploitation ferroviaire, relégué à l'arrière-plan, est pratiquement effacé.</w:t>
      </w:r>
    </w:p>
    <w:p>
      <w:r>
        <w:rPr>
          <w:b/>
        </w:rPr>
        <w:t>E. 2.2</w:t>
      </w:r>
    </w:p>
    <w:p>
      <w:r>
        <w:t>En vertu de l' art. 1 al. 1 LRespC , toute entreprise de chemin de fer répond du dommage résultant du fait qu'une personne a été tuée ou blessée au cours de la construction, de l'exploitation ou des travaux accessoires impliquant les dangers inhérents à celle-ci, à moins que l'entreprise ne prouve que l'accident est dû à la force majeure, à la faute de tiers ou à celle de la victime. Selon la jurisprudence du Tribunal fédéral, la faute propre de la victime peut libérer l'entreprise de chemin de fer de sa responsabilité lorsqu'elle constitue la seule cause de l'accident ou que son importance causale est à ce point prépondérante par rapport à d'autres facteurs, en particulier le risque d'exploitation du chemin de fer, que ces autres facteurs ne peuvent plus être considérés comme des causes concurrentes adéquates de l'accident ( ATF 102 II 363 consid. 3; 96 II 355 consid. I; 88 II 448 consid. 2; 87 II 301 consid. 2 et les arrêts cités). En revanche, si, à côté du risque normalement inhérent à l'exploitation du chemin de fer et de la faute propre de la victime, d'autres circonstances dont l'entreprise de chemin de fer doit répondre - en particulier une faute des organes de l'entreprise ou d'autres personnes dont elle répond du comportement selon l' art. 1 al. 2 LRespC , ou encore des risques d'exploitation spéciaux, dépassant la mesure normale - ont constitué des causes concurrentes de l'accident, la responsabilité de l'entreprise de chemin de fer reste engagée même en cas de faute grave de la victime, mais il y a alors lieu à réduction de l'indemnité selon l' art. 5 LRespC ( ATF 102 II 363 consid. 3; 69 II 259 consid. 1). Contrairement à ce que semblent penser les recourants, le risque normalement inhérent à l'exploitation du chemin de fer peut être aggravé non seulement par les défauts de sécurité de l'installation, tels que l'insuffisance de la signalisation, mais aussi par des circonstances - sur lesquelles l'entreprise de chemin de fer n'a aucune prise - qui rendent l'exploitation plus dangereuse, telles que des conditions météorologiques ayant pour effet de réduire sensiblement la visibilité ou de limiter l'ouïe (Pierre Tercier, La responsabilité civile des entreprises de chemin de fer, in Journées du droit de la circulation routière 1998, p. 32 s. et la jurisprudence citée).</w:t>
      </w:r>
    </w:p>
    <w:p>
      <w:r>
        <w:rPr>
          <w:b/>
        </w:rPr>
        <w:t>E. 2.3</w:t>
      </w:r>
    </w:p>
    <w:p>
      <w:r>
        <w:t>En l'occurrence, il ressort des constatations de fait opérées par la cour cantonale, qui lient le Tribunal fédéral en instance de réforme (cf. art. 63 al. 2 OJ ), que l'accident a eu lieu en décembre par un temps détestable, alors qu'il pleuvait abondamment et soufflait de fortes rafales de vent, de telle manière que pour un automobiliste, la visibilité du train de même que son audibilité, en particulier du sifflet de celui-ci, étaient largement diminuées (cf. lettre C.a supra). Dès lors que l'autorité cantonale a retenu que les mauvaises conditions météorologiques ont constitué des causes concurrentes de l'accident, la responsabilité des défendeurs est ainsi incontestablement engagée même si on ne peut leur reprocher aucun défaut de signalisation ni aucune faute, et même si la victime a quant à elle commis une faute importante (cf. consid. 4 infra). C'est à tort que les défendeurs soutiennent que Keller conclut à l'absence de toute responsabilité de l'entreprise de chemin de fer en cas de faute grave de la victime, d'une part, et d'un risque d'exploitation accru, d'autre part. L'entrée du tableau schématique citée par les défendeurs (Alfred Keller, Haftpflicht im Privatrecht, Band I, 6e éd., 2002, n. 14 p. 394) ne prend en effet en compte que l'absence de faute de l'entreprise de chemin de fer et la faute grave de l'automobiliste; il ne tient en revanche pas compte des risques d'exploitation spéciaux, dont Keller rappelle plus haut qu'ils sont susceptibles de modifier la situation (Keller, op. cit., n. 14 p. 392).</w:t>
      </w:r>
    </w:p>
    <w:p>
      <w:r>
        <w:rPr>
          <w:b/>
        </w:rPr>
        <w:t>E. 3.1</w:t>
      </w:r>
    </w:p>
    <w:p>
      <w:r>
        <w:t>Les défendeurs reprochent ensuite à la cour cantonale de les avoir condamnés à verser des indemnités pour tort moral en dépit du texte clair de l' art. 8 LRespC , qui subordonne la réparation du tort moral à une faute de l'entreprise de chemin de fer. Si cette règle est marquée d'une conception restrictive de la réparation du tort moral qui peut apparaître dépassée au regard de l'évolution législative, elle n'en demeure pas moins en vigueur, et son adaptation à la conception moderne de la réparation du tort moral ne pourrait être le fait que du législateur, et non du juge sous le couvert du comblement d'une lacune improprement dite et de l'interdiction de l'abus de droit.</w:t>
      </w:r>
    </w:p>
    <w:p>
      <w:r>
        <w:rPr>
          <w:b/>
        </w:rPr>
        <w:t>E. 3.2</w:t>
      </w:r>
    </w:p>
    <w:p>
      <w:r>
        <w:t>Selon l' art. 8 LRespC , s'il y a eu faute de l'entreprise ou des personnes dont elle répond, le juge peut, en tenant compte des circonstances particulières, notamment quand il y a eu dol ou faute grave, allouer à la partie lésée ou, en cas de mort, à la famille de la victime une somme équitable, indépendamment de la réparation du dommage constaté. Cette règle, qui correspond textuellement à l'art. 54 de l'ancien Code fédéral des obligations de 1881, suppose donc qu'il y ait eu une faute à la charge de l'entreprise de chemin de fer (Tercier, op. cit., p. 21). Quoique la règle générale de l' art. 47 CO ne fasse depuis longtemps plus dépendre la réparation du tort moral d'une faute de la personne recherchée (cf. aussi l' art. 49 CO ), l' art. 8 LRespC demeure en vigueur en tant que norme spéciale dérogeant à cette norme générale. Dès lors, bien que critiquée par la doctrine, qui la considère comme l'expression d'une conception restrictive aujourd'hui dépassée et comme une anomalie dans le système de la responsabilité pour risques (Tercier, op. cit., p. 21 et les références citées; Peter Gauch, Das Haftpflichtrecht der Eisenbahnen, in Journées du droit de la circulation routière 1998, p. 20 et les références citées), la règle de l' art. 8 LRespC ne peut qu'être appliquée, en tant que norme de droit positif fédéral, tant qu'elle n'est pas abrogée par le législateur (cf. arrêt non publié 5C.7/2001 du 20 juillet 2001, consid. 3c). La référence faite par la cour cantonale à l' ATF 74 II 202 est dépourvue de pertinence : si le Tribunal fédéral s'y est demandé, dans un obiter dictum (p. 214), si les normes contenues dans des lois spéciales, telles que l' art. 8 LRespC , qui subordonnent la réparation du tort moral à une faute ne devraient pas être complétées par l' art. 54 CO lorsqu'un accident est causé par une personne incapable de discernement, cela ne signifie pas qu'il puisse être fait abstraction de l'exigence d'une faute en dehors de cette hypothèse particulière. Quant à admettre l'existence d'une lacune improprement dite en ce sens que l'application du texte réputé déterminant de la norme conduirait à un résultat insoutenable d'un point de vue téléologique, il n'y a pas lieu de considérer en l'espèce que le fait d'invoquer le sens du texte clair de l' art. 8 LRespC soit constitutif d'un abus de droit, qui seul permettrait au juge de retenir une telle lacune (cf. ATF 122 I 253 consid. 6a; 121 III 219 consid. 1d/aa p. 225 s.; 120 III 131 consid. 3b et les références citées). Le recours se révèle ainsi bien fondé sur ce point.</w:t>
      </w:r>
    </w:p>
    <w:p>
      <w:r>
        <w:rPr>
          <w:b/>
        </w:rPr>
        <w:t>E. 4</w:t>
      </w:r>
    </w:p>
    <w:p>
      <w:r>
        <w:t>Les défendeurs soutiennent que la gravité des fautes commises par la victime serait telle qu'elle justifierait, en cas d'admission de leur responsabilité, que les indemnités dues soient réduites de trois quarts, et non seulement d'un quart comme retenu par l'autorité cantonale. L' art. 5 LRespC prévoit que si l'accident est dû en partie à une faute de la victime, le juge peut, en tenant compte de toutes les circonstances, réduire proportionnellement l'indemnité. En l'espèce, la cour cantonale a retenu, essentiellement sur la base des déclarations à la police du conducteur de la locomotive, que X.A.________ roulait lentement, à un vitesse constante, les avant-bras posés sur le volant, et qu'elle n'avait pas ralenti à l'approche du passage à niveau, malgré les sifflets actionnés à deux reprises par le conducteur du convoi ferroviaire. Les juges cantonaux ont retenu à juste titre que, vu les très mauvaises conditions atmosphériques existant, l'automobiliste avait à s'arrêter et à baisser les vitres de sa voiture pour s'assurer qu'aucun train n'approchait, ce qu'elle n'a pas fait. Elle a par là enfreint l' art. 28 LCR , qui impose aux usagers de la route, s'agissant de passages à niveau qui ne sont pas munis de barrières ou de signaux commandant l'arrêt, de s'arrêter devant ces passages à niveau lorsque des véhicules s'approchent sur la voie ferrée. Il s'agit là d'une faute en soi très importante, qui est toutefois atténuée par le fait que la pluie abondante et les fortes rafales de vent diminuaient largement pour l'automobiliste la visibilité du train de même que son audibilité, en particulier du sifflet de celui-ci. Compte tenu du rôle qu'ont joué les mauvaises conditions météorologiques dans l'accident, la réduction des indemnités de trois quarts sollicité par les défendeurs pour faute grave de la victime apparaît excessive. D'un autre côté, force est de constater que l'autorité cantonale a excédé les limites de son large pouvoir d'appréciation (cf. ATF 117 II 156 consid. 3a in fine) en admettant une réduction d'un quart seulement. Une telle réduction n'aurait pu être justifiée qu'en cas de faute légère, dont il ne saurait être question en l'espèce, où l'importance de la faute de la victime au regard de l'ensemble des circonstances fait apparaître une réduction de moitié comme équitable.</w:t>
      </w:r>
    </w:p>
    <w:p>
      <w:r>
        <w:rPr>
          <w:b/>
        </w:rPr>
        <w:t>E. 5</w:t>
      </w:r>
    </w:p>
    <w:p>
      <w:r>
        <w:t>Les défendeurs contestent l'indemnité pour dommage matériel allouée à D.A.________, qui, n'ayant pas été victime de l'accident, ne saurait prétendre à la réparation du préjudice causé par la destruction de la voiture dont il était le détenteur en vertu de l' art. 11 al. 1 LRespC , ni sur la base de l' art. 11 al. 2 LRespC puisque les défendeurs n'ont commis aucune faute. Ce grief procède d'une mécompréhension de l' art. 11 LRespC . Selon cette disposition, l'entreprise est responsable des objets perdus, détruits ou avariés se trouvant sous la garde personnelle de la victime, si l'avarie, la destruction ou la perte est en connexité avec l'accident (al. 1); sauf ce cas, elle ne doit d'indemnité pour ces objets, non consignés comme marchandises ou bagages, que s'il y a eu faute de sa part (al. 2). Ainsi, le principe de la responsabilité objective s'applique pour la destruction d'objets qui ont été détruits dans l'accident alors qu'ils étaient sous la garde personnelle de la victime (cf. Tercier, op. cit., p. 23). La garde personnelle est un pouvoir de fait d'un caractère particulier qui implique que le gardien a la chose avec lui, la tient, la surveille, la conduit; ce pouvoir de nature spéciale doit être distingué de la détention au sens de la LCR, et aussi de la propriété : la loi exige uniquement que la personne qui avait les objets sous sa garde, et non le propriétaire de ces objets, soit blessée ou tuée dans l'accident (Tercier, op. cit., p. 24; ATF 44 II 436 ). Il s'ensuit que D.A.________, propriétaire et détenteur du véhicule conduit par X.A.________ et détruit dans l'accident qui a coûté la vie à celle-ci, peut demander la réparation de son dommage sur la base de l' art. 11 al. 1 LRespC et donc indépendamment de toute faute des défendeurs.</w:t>
      </w:r>
    </w:p>
    <w:p>
      <w:r>
        <w:rPr>
          <w:b/>
        </w:rPr>
        <w:t>E. 6</w:t>
      </w:r>
    </w:p>
    <w:p>
      <w:r>
        <w:t>En définitive, le recours doit être partiellement admis en ce sens que les défendeurs n'ont pas à verser de réparation pour tort moral (cf. consid. 3 supra) et que les indemnités dues d'une part au titre des frais funéraires (non contestés) et d'autre part pour le véhicule détruit dans l'accident (cf. consid. 5 supra) doivent être réduites de moitié (cf. consid. 4 supra), et donc fixées respectivement à 6'600 fr., soit ½ de 13'200 fr., et à 3'893 fr., soit ½ de 7'786 fr. (cf. lettre C.e supra). Quoique les juges cantonaux n'indiquent pas sur quelle base ils ont admis une solidarité active entre les demandeurs A.A.________ et B.A.________, il n'y a pas lieu de revoir la question dès lors que les défendeurs, en ne demandant pas la modification du jugement attaqué sur ce point, ont implicitement reconnu cette solidarité au sens de l' art. 150 al. 1 CO . Le jugement attaqué doit dès lors être annulé puis réformé en ce sens que les défendeurs Chemins de fer fédéraux suisses CFF doivent payer aux demandeurs A.A.________ et B.A.________, solidairement entre eux, la somme de 6'600 fr. avec intérêt au taux de 5% l'an dès le 24 décembre 1995, et au demandeur D.A.________ la somme de 3'893 fr. avec intérêt au taux de 5% l'an dès le 24 décembre 1995, les demandeurs étant déboutés pour le surplus. La cause sera en outre renvoyée à l'autorité cantonale pour nouvelle décision sur les frais et dépens de la procédure cantonale. S'agissant des frais et dépens de la procédure fédérale, il y a lieu, vu l'issue du recours, de mettre les frais judiciaires pour un quart à la charge des défendeurs, qui obtiennent largement gain de cause, et pour trois quarts à la charge solidaire des demandeurs ( art. 156 al. 2 et 7 OJ ). Les défendeurs, qui ne justifient pas de débours et n'ont pas eu recours aux services d'un avocat agissant en cette qualité, ne peuvent prétendre à des dépens ( art. 159 al. 1 OJ et art. 1er al. 2 du Tarif pour les dépens alloués à la partie adverse dans les causes portées devant le Tribunal fédéral, RS 173.119.1). Quant aux demandeurs, représentés par un avocat, ils ont droit de la part des défendeurs à des dépens réduits des trois quarts ( art. 159 al. 2 OJ ), qu'il convient de fixer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