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5C.276/1999 vom 27. Januar 2000</w:t>
      </w:r>
    </w:p>
    <w:p>
      <w:r>
        <w:t>Bundesgericht, 2000-01-27, IT</w:t>
      </w:r>
    </w:p>
    <w:p>
      <w:r>
        <w:rPr>
          <w:b/>
        </w:rPr>
        <w:t xml:space="preserve">Quelle: </w:t>
      </w:r>
      <w:r>
        <w:t>https://mcp.opencaselaw.ch/entscheid/bger_5C.276_1999</w:t>
      </w:r>
    </w:p>
    <w:p>
      <w:r>
        <w:t>FR: TF 5C.276/1999 du 27 janvier 2000</w:t>
      </w:r>
    </w:p>
    <w:p>
      <w:r>
        <w:t>IT: TF 5C.276/1999 del 27 gennaio 2000</w:t>
      </w:r>
    </w:p>
    <w:p>
      <w:pPr>
        <w:pStyle w:val="Heading2"/>
      </w:pPr>
      <w:r>
        <w:t>Regeste</w:t>
      </w:r>
    </w:p>
    <w:p>
      <w:r>
        <w:t>Diritto di famiglia</w:t>
      </w:r>
    </w:p>
    <w:p>
      <w:pPr>
        <w:pStyle w:val="Heading2"/>
      </w:pPr>
      <w:r>
        <w:t>Erwägungen</w:t>
      </w:r>
    </w:p>
    <w:p>
      <w:r>
        <w:rPr>
          <w:b/>
        </w:rPr>
        <w:t>E. 1</w:t>
      </w:r>
    </w:p>
    <w:p>
      <w:r>
        <w:t>Giusta l' art. 57 cpv. 5 OG il Tribunale federale soprassiede alla sentenza sul ricorso per riforma fino a decisione del ricorso di diritto pubblico. Ciò si giustifica per il fatto che se il Tribunale federale esamina in primo luogo il ricorso per riforma la sua sentenza si sostituisce alla decisione cantonale, rendendo il ricorso di diritto pubblico privo di oggetto, poiché viene a mancare la decisione suscettibile di essere impugnata con tale gravame ( DTF 122 I 81 consid. 1, 120 Ia 377 consid. 1 e rinvii). A questo disposto è possibile derogare segnatamente laddove il ricorso per riforma sembra dover essere accolto anche sulla base degli accertamenti di fatto su cui si è fondata l'autorità cantonale e censurati nel parallelo ricorso di diritto pubblico o laddove esso risulti inammissibile ( DTF 117 II 630 consid. 1a con rinvii). Nella fattispecie, essendo in presenza diquest'ultimaipotesi, sigiustifica, inderogaall'art. 57cpv. 5OG,diesaminareinprimoluogoilricorsoperriforma.</w:t>
      </w:r>
    </w:p>
    <w:p>
      <w:r>
        <w:rPr>
          <w:b/>
        </w:rPr>
        <w:t>E. 2</w:t>
      </w:r>
    </w:p>
    <w:p>
      <w:r>
        <w:t>Le decisioni relative alla privazione della custodia parentale ai sensi dell' art. 310 CC - o al ripristino di questo diritto in applicazione dell' art. 313 CC - non possono essere impugnate con un ricorso per riforma ( DTF 120 II 384 consid. 4b, 109 II 388 consid. 1). Tale possibilità è invece prevista contro le decisioni prese sulla base degli art. 311 o 313 CC circa la privazione o il ripristino dell'autorità parentale (art. 44 lett. d OG), a causa dell'importanza di questa misura ( DTF 109 II 388 consid. 1).</w:t>
      </w:r>
    </w:p>
    <w:p>
      <w:r>
        <w:rPr>
          <w:b/>
        </w:rPr>
        <w:t>E. 3</w:t>
      </w:r>
    </w:p>
    <w:p>
      <w:r>
        <w:t>Da quanto sopra esposto discende che il ricorso è inammissibile. Le spese processuali sono messe a carico dei ricorrenti in solido ( art. 156 cpv. 1 e 7 OG ). Non si assegnano invece ripetibili di sede federale poiché la controparte non è stata invitata a fornire osservazioni di risposta e non ha pertanto assunto spese in relazione alla procedura davanti al Tribunale federale ( art. 159 cpv. 1 e 2 OG ; Poudret/Sandoz-Monod, Commentaire de la loi fédérale d'organisation judiciaire, Vol. V, Berna 1992, n. 2 ad art. 159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