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5C.271/2001 vom 19. März 2002</w:t>
      </w:r>
    </w:p>
    <w:p>
      <w:r>
        <w:t>Bundesgericht, 2002-03-19, FR</w:t>
      </w:r>
    </w:p>
    <w:p>
      <w:r>
        <w:rPr>
          <w:b/>
        </w:rPr>
        <w:t xml:space="preserve">Quelle: </w:t>
      </w:r>
      <w:r>
        <w:t>https://mcp.opencaselaw.ch/entscheid/bger_5C.271_2001</w:t>
      </w:r>
    </w:p>
    <w:p>
      <w:r>
        <w:t>FR: TF 5C.271/2001 du 19 mars 2002</w:t>
      </w:r>
    </w:p>
    <w:p>
      <w:r>
        <w:t>IT: TF 5C.271/2001 del 19 marzo 2002</w:t>
      </w:r>
    </w:p>
    <w:p>
      <w:pPr>
        <w:pStyle w:val="Heading2"/>
      </w:pPr>
      <w:r>
        <w:t>Erwägungen</w:t>
      </w:r>
    </w:p>
    <w:p>
      <w:r>
        <w:rPr>
          <w:b/>
        </w:rPr>
        <w:t>E. 1</w:t>
      </w:r>
    </w:p>
    <w:p>
      <w:r>
        <w:t>Dirigé en temps utile contre une décision finale prise en dernière instance cantonale qui réglemente le droit de visite du père, le recours est recevable au regard des art. 44 let . d,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 art. 63 al. 2 et 64 OJ ). Il ne peut être présenté de griefs contre les constatations de fait ( art. 55 al. 1 let . c OJ) ni contre l'appréciation des preuves à laquelle s'est livrée l'autorité cantonale ( ATF 122 III 61 consid. 2c/cc p. 66; 120 II 97 consid. 2b p. 99; 119 II 84 ). Les faits nouveaux sont irrecevables ( art. 55 al. 1 let . c OJ).</w:t>
      </w:r>
    </w:p>
    <w:p>
      <w:r>
        <w:t>Autant que la recourante prétend qu'il existe un risque d'enlèvement et se réfère à cet effet à des déclarations et dessins de son fils, son recours est irrecevable.</w:t>
      </w:r>
    </w:p>
    <w:p>
      <w:r>
        <w:t>Nonobstant qu'elle s'en prend ainsi aux constatations de l'arrêt entrepris, elle fonde son argumentation sur des faits qui ne ressortent pas de celui-ci, sans se prévaloir de l'une des exceptions susmentionnées.</w:t>
      </w:r>
    </w:p>
    <w:p>
      <w:r>
        <w:rPr>
          <w:b/>
        </w:rPr>
        <w:t>E. 3</w:t>
      </w:r>
    </w:p>
    <w:p>
      <w:r>
        <w:t>La recourante reproche à l'Autorité de surveillance des tutelles de ne pas avoir soumis le droit de visite de l'intimé au dépôt préalable des pièces de légitimation, ce du moins jusqu'à la production d'un jugement turc exécutoire reconnaissant ses droits parentaux. Elle y voit une violation des art. 273 à 275 CC.</w:t>
      </w:r>
    </w:p>
    <w:p>
      <w:r>
        <w:t>a) D'après l' art. 7a al. 3 Tit. fin. CC , la modification d'un jugement de divorce rendu selon le droit antérieur à la novelle du 26 juin 1998 est régie par ce droit, sous réserve des dispositions relatives aux enfants et à la procédure. La présente cause est dès lors soumise au nouveau droit.</w:t>
      </w:r>
    </w:p>
    <w:p>
      <w:r>
        <w:t>b) Selon l' art. 134 al. 2 CC , les conditions se rapportant notamment à la modification des relations personnelles sont définies par les dispositions relatives aux effets de la filiation, à savoir les art. 273 et 274 CC (arrêt 5C.146/2001 du 26 octobre 2001, consid. 2b). S'agissant des conditions matérielles fondant une modification du droit de visite, il y a lieu de se référer à la jurisprudence développée en application de l'art. 157 aCC. La modification ne peut ainsi avoir pour but de corriger le jugement de divorce, mais de l'adapter aux circonstances nouvelles survenant chez les parents ou l'enfant; elle n'est possible que si des faits importants et nouveaux exigent, dans l'intérêt de ce dernier, un réexamen de la situation ( ATF 100 II 76 consid. 1 p. 78).</w:t>
      </w:r>
    </w:p>
    <w:p>
      <w:r>
        <w:t>La recourante ne conteste pas que ces exigences soient remplies en l'espèce. Elle soutient en bref que l'autorité cantonale a - au mépris du bien de l'enfant - omis de prendre en considération les risques liés à l'absence de reconnaissance et d'exequatur du jugement de divorce en Turquie. Si son ex-mari venait à s'installer dans ce pays avec son fils, elle n'aurait en effet aucun moyen de faire rapatrier celui-ci en Suisse.</w:t>
      </w:r>
    </w:p>
    <w:p>
      <w:r>
        <w:t>c) Le père ou la mère qui ne détient pas l'autorité parentale ou la garde ainsi que l'enfant mineur ont réciproquement le droit d'entretenir les relations personnelles indiquées par les circonstances ( art. 273 al. 1 CC ). Pour fixer le droit de visite,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w:t>
      </w:r>
    </w:p>
    <w:p>
      <w:r>
        <w:t>Tel n'est pas le cas en l'espèce. L'argument pris d'éventuelles difficultés de rapatriement n'a de pertinence que dans la mesure où il existe un risque d'enlèvement. Or, l'Autorité de surveillance des tutelles a précisément écarté un tel danger. Elle a en effet constaté ( art. 63 al. 2 OJ ) que l'instruction de la cause n'avait révélé aucun fait de nature à fonder un risque d'enlèvement de l'enfant pour le cas où le père disposerait d'un droit de visite usuel lui conférant la faculté d'emmener son fils à l'étranger durant les vacances. S'agissant plus particulièrement des craintes d'enlèvement exprimées par la recourante et sa famille, elle a jugé qu'elles ne pouvaient être partagées.</w:t>
      </w:r>
    </w:p>
    <w:p>
      <w:r>
        <w:rPr>
          <w:b/>
        </w:rPr>
        <w:t>E. 4</w:t>
      </w:r>
    </w:p>
    <w:p>
      <w:r>
        <w:t>Se prévalant de la maxime d'office applicable en matière de relations personnelles entre parents et enfants, la recourante prétend que l'autorité cantonale aurait dû instruire plus avant la question de l'avancement de la procédure de reconnaissance du jugement de divorce suisse prétendument initiée en Turquie.</w:t>
      </w:r>
    </w:p>
    <w:p>
      <w:r>
        <w:t>Vu l'absence de danger d'enlèvement de l'enfant constatée par l'autorité cantonale ( art. 63 al. 2 OJ ), des faits concernant l'avancement de la procédure turque de reconnaissance du jugement de divorce suisse ne sont pas pertinents pour la fixation du droit de visite. La recourante admet d'ailleurs elle-même que l'absence de ratification du jugement de divorce suisse n'est propre à engendrer des difficultés qu'en cas de rapatriement suite à un enlèvement. Le chef de conclusions en annulation et renvoi de la cause pour complément de l'état de fait doit donc être rejeté autant qu'il est recevable.</w:t>
      </w:r>
    </w:p>
    <w:p>
      <w:r>
        <w:rPr>
          <w:b/>
        </w:rPr>
        <w:t>E. 5</w:t>
      </w:r>
    </w:p>
    <w:p>
      <w:r>
        <w:t>Vu ce qui précède, le recours doit être rejeté dans la mesure où il est recevable. Cela étant, la recourante sera condamnée aux frais de la procédure ( art. 156 al. 1 OJ ).</w:t>
      </w:r>
    </w:p>
    <w:p>
      <w:r>
        <w:t>Il n'y a, en revanche, pas lieu d'allouer de dépens, l'intimé n'ayant pas été invité à déposer une réponse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