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5C.266/2005 vom 2. Februar 2006</w:t>
      </w:r>
    </w:p>
    <w:p>
      <w:r>
        <w:t>Bundesgericht, 2006-02-02, FR</w:t>
      </w:r>
    </w:p>
    <w:p>
      <w:r>
        <w:rPr>
          <w:b/>
        </w:rPr>
        <w:t xml:space="preserve">Quelle: </w:t>
      </w:r>
      <w:r>
        <w:t>https://mcp.opencaselaw.ch/entscheid/bger_5C.266_2005</w:t>
      </w:r>
    </w:p>
    <w:p>
      <w:r>
        <w:t>FR: TF 5C.266/2005 du 2 février 2006</w:t>
      </w:r>
    </w:p>
    <w:p>
      <w:r>
        <w:t>IT: TF 5C.266/2005 del 2 febbraio 2006</w:t>
      </w:r>
    </w:p>
    <w:p>
      <w:pPr>
        <w:pStyle w:val="Heading2"/>
      </w:pPr>
      <w:r>
        <w:t>Erwägungen</w:t>
      </w:r>
    </w:p>
    <w:p>
      <w:r>
        <w:rPr>
          <w:b/>
        </w:rPr>
        <w:t>E. 1.1</w:t>
      </w:r>
    </w:p>
    <w:p>
      <w:r>
        <w:t>Les recours sont formés dans le cadre de la même cause civile, ils sont dirigés contre la même décision, reposent sur les mêmes faits et soulèvent des questions de droit interdépendantes, de sorte qu'il se justifie de joindre les causes et de les liquider dans un seul arrêt (cf. ATF 124 III 382 consid. 1a p. 385 et la jurisprudence citée dans cet arrêt).</w:t>
      </w:r>
    </w:p>
    <w:p>
      <w:r>
        <w:rPr>
          <w:b/>
        </w:rPr>
        <w:t>E. 1.2</w:t>
      </w:r>
    </w:p>
    <w:p>
      <w:r>
        <w:t>Les droits contestés dans la dernière instance cantonale dépassent la valeur d'au moins 8'000 fr. dont l' art. 46 OJ fait dépendre la recevabilité du recours en réforme dans les affaires pécuniaires autres que celles visées à l' art. 45 OJ , de sorte que le recours est recevable sous cet angle. Déposé en temps utile contre une décision finale prise en dernière instance cantonale, il est également recevable du chef des art. 54 al. 1 et 48 al. 1 OJ.</w:t>
      </w:r>
    </w:p>
    <w:p>
      <w:r>
        <w:rPr>
          <w:b/>
        </w:rPr>
        <w:t>E. 1.3</w:t>
      </w:r>
    </w:p>
    <w:p>
      <w:r>
        <w:t>Saisi d'un recours en réforme, le Tribunal fédéral applique le droit d'office. Il ne peut pas aller au-delà des conclusions des parties, mais il n'est lié ni par les motifs invoqués par celles-ci ( art. 63 al. 2 OJ ), ni par l'argumentation juridique retenue par la cour cantonale ( art. 63 al. 3 OJ ; ATF 128 III 22 consid. 2e/cc p. 29; 127 III 248 consid. 2c p. 252 s.). Il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 p. 252 s.).</w:t>
      </w:r>
    </w:p>
    <w:p>
      <w:r>
        <w:t>I. Recours en réforme de la défenderesse</w:t>
      </w:r>
    </w:p>
    <w:p>
      <w:r>
        <w:rPr>
          <w:b/>
        </w:rPr>
        <w:t>E. 2</w:t>
      </w:r>
    </w:p>
    <w:p>
      <w:r>
        <w:t>L'étendue de la garantie fournie par le gage pour les intérêts ( art. 818 al. 1 ch. 3 CC ) n'est pas contestée en tant que telle. Seule est litigieuse la question de savoir si, dans sa production en vue de l'établissement de l'état des charges ( art. 138 al. 2 ch. 3 LP ), la défenderesse pouvait s'écarter de la créance d'intérêts qu'elle avait fait valoir dans sa réquisition de poursuite en réalisation de gage immobilier et amplifier sa prétention.</w:t>
      </w:r>
    </w:p>
    <w:p>
      <w:r>
        <w:rPr>
          <w:b/>
        </w:rPr>
        <w:t>E. 2.1</w:t>
      </w:r>
    </w:p>
    <w:p>
      <w:r>
        <w:t>Selon la cour cantonale, le créancier gagiste poursuivant a déjà fait valoir sa créance dans le cadre de sa réquisition de poursuite et, à l'exception des autres créanciers gagistes, tous les intéressés ont déjà eu l'occasion de contester sa créance, par le moyen de l'opposition au commandement de payer. Celui-ci et l'opposition seraient dépourvus de toute raison d'être si le créancier gagiste pouvait amplifier sa créance ultérieurement, à l'occasion de son inscription à l'état des charges. Puisque le législateur ne permet pas au créancier gagiste de requérir directement la vente, sans passer préalablement par un commandement de payer, il en découle qu'il n'y a pas lieu de lui permettre de faire valoir, au stade de l'état des charges, des intérêts qu'il a omis de réclamer dans sa réquisition de poursuite. L'Office ne doit donc porter à l'état des charges que les intérêts qui ont été réclamés dans la réquisition de poursuite. En l'espèce, même si la défenderesse avait une créance pour des intérêts courus garantie par l' art. 818 al. 1 ch. 3 CC , elle aurait dû la faire valoir expressément dans sa réquisition de poursuite en réalisation de gage. Ne l'ayant pas fait, elle ne pouvait la faire valoir au stade de l'état des charges. Sa créance d'intérêts ne doit donc être admise que pour 433'333 fr. 25.</w:t>
      </w:r>
    </w:p>
    <w:p>
      <w:r>
        <w:rPr>
          <w:b/>
        </w:rPr>
        <w:t>E. 2.2</w:t>
      </w:r>
    </w:p>
    <w:p>
      <w:r>
        <w:t>La défenderesse reproche à la Cour de justice d'avoir retenu que le créancier gagiste poursuivant ne peut produire à l'état des charges que le montant de sa créance en poursuite et, partant, d'avoir créé une norme de droit en l'absence de toute lacune du droit fédéral, violant ainsi l' art. 1 al. 1 CC . Elle estime que sa créance d'intérêts doit être arrêtée à 845'555 fr. 55 et conclut au rejet de la demande. La demanderesse estime que la créance d'intérêts doit rester fixée à 433'333 fr. 25 et conclut au rejet du recours.</w:t>
      </w:r>
    </w:p>
    <w:p>
      <w:r>
        <w:rPr>
          <w:b/>
        </w:rPr>
        <w:t>E. 3.1</w:t>
      </w:r>
    </w:p>
    <w:p>
      <w:r>
        <w:t>Dans sa réquisition de poursuite en réalisation de gage immobilier, le créancier gagiste doit indiquer le montant de sa créance et, si elle porte intérêts, le taux et le jour duquel ils courent ( art. 67 al. 1 ch. 3 LP par renvoi de l' art. 151 al. 1 LP ). L'Office rédige le commandement de payer sur cette base ( art. 69 al. 2 ch. 1 LP par renvoi de l' art. 152 al. 1 LP ).</w:t>
      </w:r>
    </w:p>
    <w:p>
      <w:r>
        <w:t>Après que la vente a été requise ( art. 133 LP par renvoi de l' art. 156 al. 1 LP ; art. 97 ORFI , RS 281.42), l'Office publie les enchères et somme les créanciers gagistes de produire leurs droits sur l'immeuble, notamment leurs réclamations d'intérêts - sous peine d'être exclus de la répartition si leurs droits ne sont pas inscrits au registre foncier - ( art. 138 al. 2 ch. 3 LP par renvoi de l' art. 156 LP ), ainsi que d'indiquer si la créance garantie par gage est échue ou a été dénoncée au remboursement en tout ou en partie et si oui, pour quel montant et pour quelle date ( art. 29 al. 2 ORFI ).</w:t>
      </w:r>
    </w:p>
    <w:p>
      <w:r>
        <w:rPr>
          <w:b/>
        </w:rPr>
        <w:t>E. 3.2</w:t>
      </w:r>
    </w:p>
    <w:p>
      <w:r>
        <w:t>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La sommation de l' art. 138 al. 1 ch. 3 LP doit donc également lui être adressée ( ATF 26 I 516 consid. 2 p. 519; cf. également Jaeger, Commentaire de la loi fédérale sur la poursuite pour dettes et la faillite, Lausanne, Genève 1900, n. 10 ad art. 138 LP ; Jent-Sorensen, Die Rechtsdurchsetzung bei der Grundstückverwertung in der Spezialexekution, Zurich 2003, n. 210 note 453 p. 79; Daniel Staehelin, Betreibung und Rechtsöffnung beim Schuldbrief, PJA 1994 p. 1255 ss, p. 1268). Pour le même motif, le créancier gagiste poursuivant peut aussi produire la partie de la créance pour laquelle la mainlevée de l'opposition lui a été refusée (Staehelin, op. cit., p. 1268).</w:t>
      </w:r>
    </w:p>
    <w:p>
      <w:r>
        <w:t>L'Office dressera l'état des charges qui grèvent l'immeuble en se fondant sur les productions des ayants droit et les extraits du registre foncier ( art. 140 al. 1 LP par renvoi de l' art. 156 LP ; art. 36 al. 2 ORFI par renvoi de l' art. 102 ORFI ) et les intéressés pourront contester l'état des charges dans un délai de dix jours ( art. 140 al. 2 LP et 37 al. 2 ORFI; Jent-Sorensen, op. cit., n. 210 note 453 p. 79). Le débiteur poursuivi ne peut toutefois plus contester l'état des charges en tant qu'il concerne la créance résultant du commandement de payer passé en force ( ATF 118 III 22 consid. 2).</w:t>
      </w:r>
    </w:p>
    <w:p>
      <w:r>
        <w:rPr>
          <w:b/>
        </w:rPr>
        <w:t>E. 3.3</w:t>
      </w:r>
    </w:p>
    <w:p>
      <w:r>
        <w:t>En l'espèce, la défenderesse pouvait donc produire une créance d'intérêts plus élevée que celle qu'elle avait indiquée dans sa réquisition de poursuite. L' art. 144 al. 4 LP concernant la distribution des deniers et les références à la doctrine traitant de cette disposition citées tant par la cour cantonale que par la demanderesse sont sans pertinence. C'est donc à tort que la cour cantonale a admis la demande et limité la créance d'intérêts de la défenderesse à 433'333 fr. 25.</w:t>
      </w:r>
    </w:p>
    <w:p>
      <w:r>
        <w:t>II. Recours en réforme de la demanderesse</w:t>
      </w:r>
    </w:p>
    <w:p>
      <w:r>
        <w:rPr>
          <w:b/>
        </w:rPr>
        <w:t>E. 4</w:t>
      </w:r>
    </w:p>
    <w:p>
      <w:r>
        <w:t>Dans son recours, la demanderesse demande que le surplus des intérêts produits en premier rang par la défenderesse lui soit attribué et distrait en sa faveur, à concurrence de sa production de 201'196 fr. 90 en capital et de 30'013 fr. 50 en intérêts, ainsi que des frais et dépens de la procédure. Son recours présuppose que son chef de conclusions tendant à la réduction de la créance d'intérêts produite par la défenderesse ait été admis. Or, celui-ci a été rejeté (consid. 3.3 ci-dessus). Son recours est donc sans objet.</w:t>
      </w:r>
    </w:p>
    <w:p>
      <w:r>
        <w:rPr>
          <w:b/>
        </w:rPr>
        <w:t>E. 5</w:t>
      </w:r>
    </w:p>
    <w:p>
      <w:r>
        <w:t>En conclusion, le recours de la défenderesse doit être admis et l'arrêt entrepris réformé en ce sens que la demande est rejetée. Le recours de la demanderesse devient sans objet. Les frais des deux procédures doivent être mis à la charge de la demanderesse ( art. 156 al. 1 OJ ). Des dépens réduits seront alloués à la défenderesse pour la procédure 5C.267/2005, conformément à l' art. 159 al. 1 OJ et à l'art. 3 al. 2 du Tarif des dépens (RS 173.119.1; Messmer/Imboden, Die eidgenössischen Rechtsmittel in Zivilsachen, Zurich 1992, n. 28 et note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