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5C.259/2001 vom 7. Februar 2001</w:t>
      </w:r>
    </w:p>
    <w:p>
      <w:r>
        <w:t>Bundesgericht, 2001-02-07, DE</w:t>
      </w:r>
    </w:p>
    <w:p>
      <w:r>
        <w:rPr>
          <w:b/>
        </w:rPr>
        <w:t xml:space="preserve">Quelle: </w:t>
      </w:r>
      <w:r>
        <w:t>https://mcp.opencaselaw.ch/entscheid/bger_5C.259_2001</w:t>
      </w:r>
    </w:p>
    <w:p>
      <w:r>
        <w:t>FR: TF 5C.259/2001 du 7 février 2001</w:t>
      </w:r>
    </w:p>
    <w:p>
      <w:r>
        <w:t>IT: TF 5C.259/2001 del 7 febbraio 2001</w:t>
      </w:r>
    </w:p>
    <w:p>
      <w:pPr>
        <w:pStyle w:val="Heading2"/>
      </w:pPr>
      <w:r>
        <w:t>Erwägungen</w:t>
      </w:r>
    </w:p>
    <w:p>
      <w:r>
        <w:rPr>
          <w:b/>
        </w:rPr>
        <w:t>E. 4</w:t>
      </w:r>
    </w:p>
    <w:p>
      <w:r>
        <w:t>Nach dem Gesagten ist die Berufung des Beklagten abzuweisen, soweit darauf eingetreten wird. Bei diesem Ausgang des Verfahrens wird der Beklagte gebührenpflichtig ( Art. 156 Abs. 1 OG ). Er hat jedoch ein Gesuch um unentgeltliche Rechtspflege gestellt. Zur Frage des Beginns der Unterhaltspflicht im Falle der Teilrechtskraft nach Art. 148 Abs. 1 ZGB ist noch kein Präjudiz ergangen. Es kann also nicht gesagt werden, es hätten der Berufung von vornherein keine ausreichenden Erfolgschancen eingeräumt werden können ( Art. 152 Abs. 1 OG ). Da der Beklagte schon vor dem Appellationshof unentgeltlich prozessiert hat, und seine finanziellen Verhältnisse sich seither nicht geändert haben, gilt er auch im bundesgerichtlichen Verfahren als bedürftig im Sinne von Art. 152 Abs. 1 OG . Sein Gesuch um Gewährung der unentgeltlichen Rechtspflege kann folglich bewilligt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