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5C.254/2005 vom 20. März 2006</w:t>
      </w:r>
    </w:p>
    <w:p>
      <w:r>
        <w:t>Bundesgericht, 2006-03-20, FR</w:t>
      </w:r>
    </w:p>
    <w:p>
      <w:r>
        <w:rPr>
          <w:b/>
        </w:rPr>
        <w:t xml:space="preserve">Quelle: </w:t>
      </w:r>
      <w:r>
        <w:t>https://mcp.opencaselaw.ch/entscheid/bger_5C.254_2005</w:t>
      </w:r>
    </w:p>
    <w:p>
      <w:r>
        <w:t>FR: TF 5C.254/2005 du 20 mars 2006</w:t>
      </w:r>
    </w:p>
    <w:p>
      <w:r>
        <w:t>IT: TF 5C.254/2005 del 20 marzo 2006</w:t>
      </w:r>
    </w:p>
    <w:p>
      <w:pPr>
        <w:pStyle w:val="Heading2"/>
      </w:pPr>
      <w:r>
        <w:t>Regeste</w:t>
      </w:r>
    </w:p>
    <w:p>
      <w:r>
        <w:t>atteinte à la personnalité | Droit des personnes</w:t>
      </w:r>
    </w:p>
    <w:p>
      <w:pPr>
        <w:pStyle w:val="Heading2"/>
      </w:pPr>
      <w:r>
        <w:t>Erwägungen</w:t>
      </w:r>
    </w:p>
    <w:p>
      <w:r>
        <w:rPr>
          <w:b/>
        </w:rPr>
        <w:t>E. 1</w:t>
      </w:r>
    </w:p>
    <w:p>
      <w:r>
        <w:t>Le Tribunal fédéral examine d'office et librement la recevabilité des recours qui lui sont soumis ( ATF 131 I 145 consid. 2 p. 147; 130 II 509 consid. 8.1 p. 510, 65 consid. 1 p. 67 et les arrêts cités).</w:t>
      </w:r>
    </w:p>
    <w:p>
      <w:r>
        <w:rPr>
          <w:b/>
        </w:rPr>
        <w:t>E. 1.1</w:t>
      </w:r>
    </w:p>
    <w:p>
      <w:r>
        <w:t>L'action en protection de la personnalité est une contestation civile portant sur un droit de nature non pécuniaire, qui peut faire l'objet d'un recours en réforme en vertu de l' art. 44 OJ ( ATF 110 II 411 consid. 1 p. 413; 102 II 161 consid. 1 p. 165). Déposé en temps utile contre une décision finale prise par le tribunal suprême du canton, le recours est également recevable au regard des art. 48 al. 1 et 54 al. 1 OJ.</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 art. 64 OJ ; ATF 130 III 102 consid. 2.2 p. 106). En dehors de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 Dans la mesure où le recourant s'écarte des constatations de fait de l'arrêt entrepris, les complète ou les modifie sans démontrer l'existence de l'une des exceptions susmentionnées, son recours est irrecevable.</w:t>
      </w:r>
    </w:p>
    <w:p>
      <w:r>
        <w:rPr>
          <w:b/>
        </w:rPr>
        <w:t>E. 2</w:t>
      </w:r>
    </w:p>
    <w:p>
      <w:r>
        <w:t>Le demandeur prétend, en substance, que la Cour de justice a violé l' art. 28 CC en niant le caractère illicite des atteintes portées à son encontre par les défendeurs dans l'interview publiée le 27 août 1999.</w:t>
      </w:r>
    </w:p>
    <w:p>
      <w:r>
        <w:rPr>
          <w:b/>
        </w:rPr>
        <w:t>E. 2.1</w:t>
      </w:r>
    </w:p>
    <w:p>
      <w:r>
        <w:t>Aux termes de l' art. 28 CC , celui qui subit une atteinte illicite à la personnalité peut agir en justice pour sa protection contre toute personne qui y participe (al. 1); une atteinte est illicite, à moins qu'elle ne soit justifiée par le consentement de la victime, par un intérêt prépondérant privé ou public, ou par la loi (al. 2). Cette disposition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la position sociale de la personne touchée et les conceptions du milieu où elle évolue (Deschenaux/Steinauer, Personnes physiques et tutelles, 4e éd., n. 558-559 p. 177/178; P. Tercier, Le nouveau droit de la personnalité, n. 480 et 481 p. 70). Pour juger si une déclaration est propre à entacher une réputation, il faut utiliser des critères objectifs et se placer du point de vue du citoyen moyen, en tenant compte des circonstances, notamment du contexte dans lequel la déclaration a été faite ( ATF 129 III 49 consid. 2.2 p. 51; 127 III 481 consid. 2b/aa p. 487; 126 III 209 consid. 3a in fine p. 213).</w:t>
      </w:r>
    </w:p>
    <w:p>
      <w:r>
        <w:rPr>
          <w:b/>
        </w:rPr>
        <w:t>E. 2.2</w:t>
      </w:r>
    </w:p>
    <w:p>
      <w:r>
        <w:t>Une atteinte à l'honneur peut résulter d'allégations de fait ou d'appréciations subjectives, sans qu'il importe de savoir, dans un premier temps, si les faits allégués sont vrais, incomplets ou inexacts ou si les critiques sont fondées ou non (cf. ATF 122 III 449 consid. 3a p. 456). Le mode d'expression (geste, voix, écrit, dessin) est également indifférent. Il suffit qu'aux yeux d'un observateur moyen, la considération dont jouit une personne en soit diminuée; la véracité des faits allégués ou le bien-fondé d'une critique jouent cependant un rôle important pour déterminer si l'atteinte est licite ou non ( ATF 103 II 161 consid. 1c p. 165; 91 II 401 consid. 3 p. 406; Deschenaux/Steinauer, op. cit., n. 559a p. 178/179; Tercier, op. cit., n. 482 p. 70). Les opinions, commentaires et jugements de valeurs sont admissibles pour autant qu'ils apparaissent soutenables en fonction de l'état de fait auquel ils se rapportent, à moins que leur forme ne dénigre inutilement la personne visée ( ATF 126 III 305 consid. 4b/bb p. 308 et les arrêts cités).</w:t>
      </w:r>
    </w:p>
    <w:p>
      <w:r>
        <w:rPr>
          <w:b/>
        </w:rPr>
        <w:t>E. 3</w:t>
      </w:r>
    </w:p>
    <w:p>
      <w:r>
        <w:t>Le demandeur reproche à l'autorité cantonale de ne pas avoir vu une atteinte illicite dans la réponse à la question: "Comment analysez-vous le fiasco de [la Banque] ?". Il prétend en bref que ce passage de l'interview, qui le fait apparaître aux yeux du lecteur moyen comme le responsable de ce fiasco, repose sur des faits erronés et éveille dans l'esprit du lecteur de fausses idées sur sa personnalité. Le contexte dans lequel cette réponse a été faite aurait en outre été méconnu.</w:t>
      </w:r>
    </w:p>
    <w:p>
      <w:r>
        <w:rPr>
          <w:b/>
        </w:rPr>
        <w:t>E. 3.1</w:t>
      </w:r>
    </w:p>
    <w:p>
      <w:r>
        <w:t>Lorsqu'il soutient que l'opinion des défendeurs repose sur des faits inexacts, le demandeur s'écarte des constatations de la cour cantonale ( art. 63 al. 2 OJ ; cf. supra, consid. 1.2). Son grief est donc irrecevable. En effet, il ne ressort pas de l'arrêt attaqué que l'un ou l'autre des faits rapportés dans l'article litigieux aurait été faux ou inexact. En particulier, la cour cantonale n'a pas jugé erronée l'allégation selon laquelle C.________ aurait été nommé directeur associé - et non "engagé" comme le prétend le demandeur - à la requête de celui-ci. En soutenant que la déclaration en cause est fausse, le demandeur s'en prend à l'état de fait de l'arrêt cantonal, ce qui n'est pas admissible dans un recours en réforme. Il en va de même lorsqu'il prétend que la déclaration selon laquelle il aurait trop fait confiance à l'employé concerné ne serait pas un jugement de valeur, mais une allégation de faits "inexacts".</w:t>
      </w:r>
    </w:p>
    <w:p>
      <w:r>
        <w:rPr>
          <w:b/>
        </w:rPr>
        <w:t>E. 3.2</w:t>
      </w:r>
    </w:p>
    <w:p>
      <w:r>
        <w:t>Le demandeur reproche en outre à la Cour de justice d'avoir estimé que, compte tenu du contexte dans lequel la déclaration avait été émise, le lecteur moyen était en mesure de comprendre qu'il n'était pas directement, mais seulement en partie responsable du fiasco de la Banque. Il fait valoir qu'il a été mis hors de cause dans la procédure pénale dirigée contre le gestionnaire indélicat, ce qui ne figure pas dans le passage litigieux. La procédure arbitrale a par ailleurs permis d'établir que, sous sa direction, la Banque avait amélioré sa situation financière et sa capacité bénéficiaire; il s'est en outre vu allouer un montant de 10'500'000 fr. par le Tribunal arbitral, qui a ainsi reconnu qu'il avait été lésé par Z.________. Dans ces conditions, force était d'admettre le caractère insoutenable des propos selon lesquels il aurait "voulu développer la banque trop vite" ou serait "une personne qui a voulu trop gagner et a tout perdu". Selon la cour cantonale, la réponse des défendeurs, prise dans son intégralité, à la question du journaliste leur demandant leur opinion sur les causes du fiasco de la Banque permet au lecteur moyen de comprendre que le demandeur n'est pas directement responsable de celui-ci. Les défendeurs ont en effet expressément indiqué que c'était le gestionnaire indélicat qui, par ses malversations, avait provoqué la débâcle et qui avait été condamné par la justice en raison de ses agissements. Quant au demandeur, il apparaît comme n'ayant qu'une part de responsabilité, en ce sens qu'il a "trop fait confiance" audit gestionnaire. Or, tant le Tribunal arbitral que la juridiction pénale ont relevé le manque de surveillance de la Banque à l'égard de ses employés. Le demandeur, en sa qualité de directeur général, avait la responsabilité d'instaurer un système de contrôle interne efficace. Il n'était ainsi pas insoutenable de laisser entendre que le fiasco de la banque lui était en partie imputable, même s'il a finalement été mis hors de cause pénalement. La conclusion tirée des faits précités, selon laquelle le demandeur "a voulu développer la banque trop vite" et "a voulu trop gagner", n'est pas non plus insoutenable, ni inutilement blessante. La formulation utilisée permet au lecteur moyen de comprendre qu'il ne s'agit que de l'opinion des personnes interrogées. Cette appréciation reste dans les limites de ce qui est admissible vu la procédure arbitrale alors en cours entre les parties, ceci d'autant plus que le procès pénal avait été fortement médiatisé et que l'interview litigieuse faisait suite à une série d'articles parus peu avant dans la presse. Contrairement à ce que prétend le demandeur, il résulte logiquement des déclarations des défendeurs qu'aucune responsabilité pénale n'a été retenue à son encontre; par conséquent, il importe peu que ceux-ci ne l'aient pas expressément précisé. Dans la mesure où il affirme qu'aucune action civile n'a été engagée contre lui, son allégation ne peut au demeurant être prise en considération, car elle ne résulte pas de l'arrêt déféré ( art. 63 al. 2 OJ ). Enfin, si le résultat de la procédure arbitrale lui a apparemment été favorable, il n'en demeure pas moins que, selon les constatations de la cour cantonale, l'interview litigieuse a eu lieu alors que cette procédure était encore pendante entre les parties, autrement dit dans un contexte conflictuel. Dans ces conditions, la Cour de justice n'a pas violé le droit fédéral en considérant que la réponse des défendeurs concernant le fiasco de la Banque ne portait pas atteinte à la considération du demandeur.</w:t>
      </w:r>
    </w:p>
    <w:p>
      <w:r>
        <w:rPr>
          <w:b/>
        </w:rPr>
        <w:t>E. 4</w:t>
      </w:r>
    </w:p>
    <w:p>
      <w:r>
        <w:t>Le demandeur soutient en outre que l'autorité cantonale a violé l' art. 28 CC en niant le caractère insoutenable de l'affirmation selon laquelle il en voulait "toujours un peu trop".</w:t>
      </w:r>
    </w:p>
    <w:p>
      <w:r>
        <w:rPr>
          <w:b/>
        </w:rPr>
        <w:t>E. 4.1</w:t>
      </w:r>
    </w:p>
    <w:p>
      <w:r>
        <w:t>Selon la Cour de justice, cette assertion constitue un jugement de valeur, de sorte qu'il y a lieu de tenir compte du contexte dans lequel elle a été émise. En l'occurrence, la question posée visait à connaître l'opinion des défendeurs sur les prétentions élevées par le demandeur dans la procédure arbitrale; en répondant que celui-ci "en voulait toujours un peu trop", ils ont laissé entendre que ses revendications étaient excessives, ce qui est compréhensible et admissible compte tenu du litige qui les opposait. Pour les juges cantonaux, l'opinion des défendeurs doit en outre être mise en relation avec les accusations portées par le demandeur contre Z.________ selon lesquelles celle-ci l'aurait forcé à vendre ses actions à un prix dérisoire, accusations parues dans la presse peu avant l'interview litigieuse. Enfin, si le Tribunal arbitral a rééquilibré les conditions financières des contrats signés entre les parties, il n'a pas alloué au demandeur le plein de ses conclusions puisqu'il a refusé d'annuler les conventions de 1994 et 1996. Les défendeurs étaient ainsi admis à qualifier d'exagérées les prétentions du demandeur, en déclarant que celui-ci en voulait toujours un peu trop.</w:t>
      </w:r>
    </w:p>
    <w:p>
      <w:r>
        <w:rPr>
          <w:b/>
        </w:rPr>
        <w:t>E. 4.2</w:t>
      </w:r>
    </w:p>
    <w:p>
      <w:r>
        <w:t>L'affirmation selon laquelle le demandeur "en voulait toujours un peu trop" ne doit pas être considérée isolément, mais doit être mise en relation avec le reproche d'avoir voulu développer la Banque trop vite. Contrairement à ce que prétend le demandeur, l'affirmation en cause, replacée dans le cadre de l'interview, ne le fait pas apparaître comme quelqu'un de cupide, mais comme une personne (trop) ambitieuse qui a voulu faire croître la Banque trop rapidement; elle concerne par conséquent le domaine professionnel et non personnel ou éthique. Compte tenu du contexte, la phrase en question ne peut être comprise que comme une opinion en rapport avec le litige opposant les parties à propos des contrats de 1994 et 1996. Que le demandeur ait obtenu partiellement gain de cause dans cette affaire ne permet pas de considérer que les défendeurs auraient tenu des propos insoutenables ou inutilement blessants. Vu les circonstances (apparemment déjà passablement relatées dans la presse), l'opinion certes négative des défendeurs ne pouvait constituer, aux yeux d'un observateur moyen, un jugement propre à entacher la réputation du demandeur.</w:t>
      </w:r>
    </w:p>
    <w:p>
      <w:r>
        <w:rPr>
          <w:b/>
        </w:rPr>
        <w:t>E. 5</w:t>
      </w:r>
    </w:p>
    <w:p>
      <w:r>
        <w:t>L'autorité cantonale aurait aussi violé l' art. 28 CC en refusant de considérer comme insoutenables les déclarations des défendeurs selon lesquelles ils estimaient que ses prétentions étaient "abusives", qu'il ne voulait que "nuire à la Banque et à ses actionnaires dans l'espoir de récupérer ses dettes" et qu'il avait "perdu le sens des réalités économiques et financières".</w:t>
      </w:r>
    </w:p>
    <w:p>
      <w:r>
        <w:rPr>
          <w:b/>
        </w:rPr>
        <w:t>E. 5.1</w:t>
      </w:r>
    </w:p>
    <w:p>
      <w:r>
        <w:t>Pour les juges cantonaux, ces allégations constituent également un jugement de valeur relatif aux prétentions émises par le demandeur devant le Tribunal arbitral. Or, il est normal de qualifier d'excessives, voire de démesurées les demandes de son adversaire. Ledit tribunal a du reste débouté le demandeur de sa conclusion principale tendant à l'invalidation des conventions conclues en 1994 et 1996. Il n'était donc pas insoutenable que les défendeurs qualifient les revendications du demandeur d'abusives. Quant au reste de la déclaration, même si elle peut paraître légèrement agressive, elle se révèle admissible compte tenu du contexte précité. En effet, le lecteur moyen perçoit bien, d'une part, que le litige opposant les parties a créé entre elles un climat très tendu, de sorte qu'il n'en tirera pas de conclusions rapides, et, d'autre part, qu'il ne s'agit que de l'opinion des défendeurs, laquelle ne saurait être qualifiée d'inutilement blessante puisque leur critique concerne uniquement les prétentions du demandeur dans la procédure arbitrale.</w:t>
      </w:r>
    </w:p>
    <w:p>
      <w:r>
        <w:rPr>
          <w:b/>
        </w:rPr>
        <w:t>E. 5.2</w:t>
      </w:r>
    </w:p>
    <w:p>
      <w:r>
        <w:t>Cette interprétation apparaît convaincante. Le demandeur objecte, en substance, qu'il serait scandaleux de lui prêter l'intention de nuire à la Banque alors qu'en tant qu'homme d'honneur, il a en réalité tout fait pour éviter de porter atteinte aux intérêts de celle-ci, de ses clients ou de ses collaborateurs; il aurait aussi permis à Z.________ d'échapper à la perte probable (pouvant aller jusqu'à 90'000'000 fr.) qu'aurait comporté pour elle le dépôt de bilan de la Banque. Ce faisant, il s'écarte, de manière irrecevable ( art. 63 al. 2 OJ ), des constatations contenues dans l'arrêt entrepris. De plus, le reproche de vouloir nuire à la Banque se rapporte manifestement à la phase de la procédure arbitrale et ne vise pas les aptitudes professionnelles du demandeur. Quant à l'appréciation des défendeurs selon laquelle celui-ci aurait perdu le sens des réalités économiques et financières, l'autorité cantonale a considéré à juste titre que cette déclaration devait également se comprendre non pas dans un sens général, mais comme étant uniquement en rapport avec l'arbitrage.</w:t>
      </w:r>
    </w:p>
    <w:p>
      <w:r>
        <w:rPr>
          <w:b/>
        </w:rPr>
        <w:t>E. 6</w:t>
      </w:r>
    </w:p>
    <w:p>
      <w:r>
        <w:t>En conclusion, le recours apparaît mal fondé et doit donc être rejeté, dans la mesure où il est recevable. Le recourant, qui succombe, supportera par conséquent les frais judiciaires ( art. 156 al. 1 OJ ). Il n'y a pas lieu d'allouer des dépens, des réponses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