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5C.250/2000 vom 23. Januar 2001</w:t>
      </w:r>
    </w:p>
    <w:p>
      <w:r>
        <w:t>Bundesgericht, 2001-01-23, DE</w:t>
      </w:r>
    </w:p>
    <w:p>
      <w:r>
        <w:rPr>
          <w:b/>
        </w:rPr>
        <w:t xml:space="preserve">Quelle: </w:t>
      </w:r>
      <w:r>
        <w:t>https://mcp.opencaselaw.ch/entscheid/bger_5C.250_2000</w:t>
      </w:r>
    </w:p>
    <w:p>
      <w:r>
        <w:t>FR: TF 5C.250/2000 du 23 janvier 2001</w:t>
      </w:r>
    </w:p>
    <w:p>
      <w:r>
        <w:t>IT: TF 5C.250/2000 del 23 gennaio 2001</w:t>
      </w:r>
    </w:p>
    <w:p>
      <w:pPr>
        <w:pStyle w:val="Heading2"/>
      </w:pPr>
      <w:r>
        <w:t>Regeste</w:t>
      </w:r>
    </w:p>
    <w:p>
      <w:r>
        <w:t>Vertragsrecht</w:t>
      </w:r>
    </w:p>
    <w:p>
      <w:pPr>
        <w:pStyle w:val="Heading2"/>
      </w:pPr>
      <w:r>
        <w:t>Erwägungen</w:t>
      </w:r>
    </w:p>
    <w:p>
      <w:r>
        <w:rPr>
          <w:b/>
        </w:rPr>
        <w:t>E. 1</w:t>
      </w:r>
    </w:p>
    <w:p>
      <w:r>
        <w:t>Gemäss Art. 237 lit. b der ZPO des Kantons St. Gallen ist die Nichtigkeitsbeschwerde an das Kassationsgericht zulässig gegen Entscheide der Kantonsgerichtspräsidenten als erster Instanz und des Handelsgerichts im summarischen Verfahren. Da diese Voraussetzungen hier fehlen, ist der angefochtene Entscheid letztinstanzlich im Sinne von Art. 48 OG und daher grundsätzlich berufungsfähig. Mit dem von keiner Seite in Abrede gestellten Streitwert von Fr. 12'870.-- ist zudem die Streitwertgrenze von Art. 46 OG erreicht, sodass auf die Berufung einzutreten ist.</w:t>
      </w:r>
    </w:p>
    <w:p>
      <w:r>
        <w:rPr>
          <w:b/>
        </w:rPr>
        <w:t>E. 2</w:t>
      </w:r>
    </w:p>
    <w:p>
      <w:r>
        <w:t>a) Die Vorinstanz ist davon ausgegangen, dass die zweijährige Verjährungsfrist von Art. 46 VVG (SR 221. 229.1) durch jenes Ereignis ausgelöst werde, welches die grundsätzliche Leistungspflicht des Versicherers zur Entstehung bringe. Gemäss Art. 10 lit. a der hier massgebenden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Der Kläger wirft dem Kantonsgerichtspräsidenten vor, Art. 46 VVG missverstanden und falsch angewendet zu haben. Dieser sei darüber hinweggegangen, dass der Zeitpunkt des Eintritts der leistungsbegründenden Tatsache, welcher den Verjährungsbeginn auslöse, nicht bei allen Versicherungsbranchen gleich sei. Bei der hier relevanten Krankentaggeld-Versicherung bestehe in Bezug auf den Verjährungsbeginn die Besonderheit, dass jeder neue Tag Arbeitsunfähigkeit eine neue Tatsache gebildet, welche die Leistungspflicht für einen weiteren Tag begründet und die Verjährungsfrist neu ausgelöst habe. b)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68 II 106 E. 1; 75 II 227 E. 2 S. 231; König, Privatversicherungsrecht,</w:t>
      </w:r>
    </w:p>
    <w:p>
      <w:r>
        <w:rPr>
          <w:b/>
        </w:rPr>
        <w:t>E. 3</w:t>
      </w:r>
    </w:p>
    <w:p>
      <w:r>
        <w:t>Nach dem Verfahrensausgang wird der Kläger kostenpflichtig ( Art. 156 Abs. 1 OG ). Er hat um Gewährung der unentgeltlichen Rechtspflege ersucht und seine Prozessarmut dargetan. Die hier zu beurteilende Kernfrage des Verjährungsbeginnes bei einer Forderung aus Krankentaggeld-Versicherung ist bisher noch nicht entschieden und auch von der herrschenden Lehre nicht behandelt worden, sodass der Kläger ein Interesse an einer höchstrichterlichen Entscheidung hatte. Da die Ergreifung des Rechtsmittels nicht als aussichtslos erschien, ist das Gesuch um unentgeltliche Rechtspflege gutzuheissen ( Art. 152 OG ). Auf eine Parteientschädigung kann dagegen verzichtet werden, da keine Berufungsantwort eingeholt worden ist und deshalb der Beklagten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