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5C.249/2004 vom 2. März 2005</w:t>
      </w:r>
    </w:p>
    <w:p>
      <w:r>
        <w:t>Bundesgericht, 2005-03-02, FR</w:t>
      </w:r>
    </w:p>
    <w:p>
      <w:r>
        <w:rPr>
          <w:b/>
        </w:rPr>
        <w:t xml:space="preserve">Quelle: </w:t>
      </w:r>
      <w:r>
        <w:t>https://mcp.opencaselaw.ch/entscheid/bger_5C.249_2004</w:t>
      </w:r>
    </w:p>
    <w:p>
      <w:r>
        <w:t>FR: TF 5C.249/2004 du 2 mars 2005</w:t>
      </w:r>
    </w:p>
    <w:p>
      <w:r>
        <w:t>IT: TF 5C.249/2004 del 2 marzo 2005</w:t>
      </w:r>
    </w:p>
    <w:p>
      <w:pPr>
        <w:pStyle w:val="Heading2"/>
      </w:pPr>
      <w:r>
        <w:t>Erwägungen</w:t>
      </w:r>
    </w:p>
    <w:p>
      <w:r>
        <w:rPr>
          <w:b/>
        </w:rPr>
        <w:t>E. 1</w:t>
      </w:r>
    </w:p>
    <w:p>
      <w:r>
        <w:t>Le jugement attaqué tranche une contestation civile portant sur des droits de nature pécuniaire dont la valeur dépasse largement 8'000 fr.; il constitue une décision finale prise par le tribunal suprême du canton de Vaud et qui ne peut pas être l'objet d'un recours ordinaire de droit cantonal. Le recours en réforme, interjeté en temps utile, est donc recevable au regard des art. 46, 48 al. 1 et 54 al. 1 OJ.</w:t>
      </w:r>
    </w:p>
    <w:p>
      <w:r>
        <w:rPr>
          <w:b/>
        </w:rPr>
        <w:t>E. 2.1</w:t>
      </w:r>
    </w:p>
    <w:p>
      <w:r>
        <w:t>Les défendeurs soutiennent, dans une argumentation quelque peu confuse, que comme la demanderesse n'est pas propriétaire de la cédule hypothécaire litigieuse, mais seulement titulaire d'un droit de gage mobilier sur celle-ci, et que les parties n'ont pas valablement dérogé au système de l' art. 906 CC , la voie de la poursuite en réalisation de gage immobilier n'était pas ouverte. Selon eux, l'art. 7 de l'acte de nantissement devrait être considéré comme une clause insolite, qui ne serait pas valable dès lors que leur attention n'a pas été spécialement attirée sur celle-ci (cf. ATF 119 II 443 consid. 1a). En outre, le texte même de cette clause serait ambigu et peu clair, ce qui, en vertu du principe in dubio contra stipulatorem, devrait la rendre inefficace.</w:t>
      </w:r>
    </w:p>
    <w:p>
      <w:r>
        <w:rPr>
          <w:b/>
        </w:rPr>
        <w:t>E. 2.2</w:t>
      </w:r>
    </w:p>
    <w:p>
      <w:r>
        <w:t>Le créancier nanti - comme en l'espèce - d'une cédule hypothécaire ne peut, en principe, pas exercer contre le débiteur les droits qui sont incorporés dans ladite cédule. En effet, selon l' art. 906 CC , seul le propriétaire de la créance - laquelle, dans le cas d'une cédule hypothécaire, est incorporée dans le titre tout comme le droit de gage immobilier qui la garantit (cf. art. 842 CC ) - peut la dénoncer et la recouvrer en agissant en réalisation du gage immobilier. Ces facultés n'appartiennent pas à celui qui est simplement titulaire d'un droit de gage mobilier sur les titres, à moins qu'elles ne lui aient été octroyées par convention ( ATF 97 III 119 ; 64 II 418 ; 38 II 522 consid. 7 p. 530-531; Favre/Liniger, Cédules hypothécaires et procédure de mainlevée, in SJ 1995 p. 101 ss, 105 et les références citées; Zobl, Berner Kommentar, Band IV/2/5/2, 1996, n. 16 ad art. 906 CC et les références citées; Oftinger/Bär, Zürcher Kommentar, Band IV/2c, 1981, n. 35 ad art. 906 CC ; arrêt non publié 5P.481/1997 du 24 février 1998, consid. 2).</w:t>
      </w:r>
    </w:p>
    <w:p>
      <w:r>
        <w:t>La clause par laquelle le créancier nanti d'une cédule hypothécaire se réserve contractuellement la possibilité de faire valoir, comme un propriétaire, les droits rattachés à la cédule est depuis longtemps usuelle dans les actes de nantissement des banques (Zobl, op. cit., n. 16 ad art. 906 CC et les références citées; le même, Probleme bei der Verpfändung von Eigentümer-Schuldbriefen, in RNRF 1978 p. 193 ss, 213; Oftinger/Bär, op. cit., n. 35 ad art. 906 CC ). Au surplus, quoique dérogeant au droit dispositif, une telle clause entre parfaitement dans le cadre du type de contrat considéré et dans la nature de l'affaire, de sorte qu'elle ne saurait être considérée comme insolite (cf. ATF 119 II 443 consid. 1a et les références citées).</w:t>
      </w:r>
    </w:p>
    <w:p>
      <w:r>
        <w:rPr>
          <w:b/>
        </w:rPr>
        <w:t>E. 2.3</w:t>
      </w:r>
    </w:p>
    <w:p>
      <w:r>
        <w:t>En l'espèce, l'art. 7 de l'acte de nantissement conclu par les parties confère expressément à la banque la faculté de "dénoncer des créances mises en gage et de les encaisser" et de "faire valoir ses prétentions découlant du nantissement directement à l'égard du débiteur du titre par la voie de la poursuite en réalisation de gage." Dans les circonstances de l'espèce, cette clause ne peut être comprise, selon le principe de la confiance (cf. ATF 129 III 118 consid. 2.5 et les arrêts cités), que comme conférant à la demanderesse la faculté de dénoncer la créance incorporée dans le titre - alors même que celui-ci n'avait été remis qu'en nantissement - au remboursement et d'agir sur cette base en réalisation de gage immobilier. En effet, la faculté prévue d'agir "directement à l'égard du débiteur du titre par la voie de la poursuite en réalisation de gage" ne peut viser que la créance abstraite incorporée dans la cédule hypothécaire, et la poursuite en réalisation de gage ainsi mentionnée ne peut être que celle en réalisation du gage qui garantit cette créance abstraite, à savoir du gage immobilier (cf. art. 842 CC ).</w:t>
      </w:r>
    </w:p>
    <w:p>
      <w:r>
        <w:rPr>
          <w:b/>
        </w:rPr>
        <w:t>E. 3</w:t>
      </w:r>
    </w:p>
    <w:p>
      <w:r>
        <w:t>Les défendeurs soulèvent en outre la question de l'identité entre la personne poursuivie et la personne désignée comme débiteur dans le titre; ils soutiennent qu'en l'occurrence, le débiteur désigné par la cédule hypothécaire est encore l'ancien propriétaire de l'immeuble.</w:t>
      </w:r>
    </w:p>
    <w:p>
      <w:r>
        <w:t>Le Tribunal fédéral doit fonder son arrêt sur les faits tels qu'ils ont été constatés par la dernière autorité cantonale ( art. 63 al. 2 OJ ). Or le jugement attaqué ne constate pas que la cédule hypothécaire litigieuse mentionne l'ancien propriétaire de l'immeuble comme débiteur de la créance incorporée dans le titre. En revanche, il retient que les défendeurs ont repris la dette incorporée dans la cédule hypothécaire lorsque celle-ci a été augmentée à 1'050'000 fr., de sorte que la demanderesse était fondée à faire valoir à leur encontre la créance incorporée dans le titre (cf. ATF 129 III 12 ).</w:t>
      </w:r>
    </w:p>
    <w:p>
      <w:r>
        <w:rPr>
          <w:b/>
        </w:rPr>
        <w:t>E. 4</w:t>
      </w:r>
    </w:p>
    <w:p>
      <w:r>
        <w:t>Les défendeurs soulèvent enfin la question du taux d'intérêt applicable. Ils reprochent à la cour cantonale de les avoir condamnés à payer l'intérêt sur le montant de 1'050'000 fr. au taux légal de 5%, alors qu'il est établi que le taux d'intérêt applicable est celui fixé d'entente entre les parties. Or depuis le 5 mai 2001, le taux hypothécaire de référence pour les prêts hypothécaires en premier rang de la Banque cantonale vaudoise aurait toujours été inférieur à 5%.</w:t>
      </w:r>
    </w:p>
    <w:p>
      <w:r>
        <w:t>Ce grief est manifestement mal fondé. En effet, la défenderesse a dénoncé la cédule au remboursement six mois d'avance par lettre du 3 novembre 2000, de sorte que les défendeurs étaient en demeure de payer le montant de 1'050'000 fr. depuis le 5 mai 2001 ( art. 102 CO ). Or le débiteur qui est en demeure pour le paiement d'une somme d'argent doit l'intérêt moratoire au taux de 5% l'an, même si un taux inférieur avait été fixé pour l'intérêt conventionnel ( art. 104 al. 1 CO ).</w:t>
      </w:r>
    </w:p>
    <w:p>
      <w:r>
        <w:rPr>
          <w:b/>
        </w:rPr>
        <w:t>E. 5</w:t>
      </w:r>
    </w:p>
    <w:p>
      <w:r>
        <w:t>En définitive, le jugement attaqué se révèle conforme au droit fédéral, aussi bien en ce qui concerne les montants en capital et intérêts dus par les défendeurs qu'en tant qu'il prononce la mainlevée définitive, à concurrence de ces montants, des oppositions formées par les défendeurs dans le cadre des poursuites en réalisation de gage immobilier dirigées contre eux. Le recours, mal fondé, doit ainsi être rejeté. Les défendeurs, qui succombent, supporteront les frais judiciaires, solidairement entre eux ( art. 156 al. 1 et 7 OJ ). Il n'y a en revanche pas lieu d'allouer de dépens, dès lors que la demanderesse n'a pas été invitée à procéder et n'a en conséquence pas assumé de frais en relation avec la procédure devant le Tribunal fédéral ( art. 159 al. 1 et 2 OJ ; Poudret/Sandoz-Monod, Commentaire de la loi fédérale d'organisation judiciaire, vol. V, Berne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