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5C.245/2006 vom 1. Februar 2007</w:t>
      </w:r>
    </w:p>
    <w:p>
      <w:r>
        <w:t>Bundesgericht, 2007-02-01, FR</w:t>
      </w:r>
    </w:p>
    <w:p>
      <w:r>
        <w:rPr>
          <w:b/>
        </w:rPr>
        <w:t xml:space="preserve">Quelle: </w:t>
      </w:r>
      <w:r>
        <w:t>https://mcp.opencaselaw.ch/entscheid/bger_5C.245_2006</w:t>
      </w:r>
    </w:p>
    <w:p>
      <w:r>
        <w:t>FR: TF 5C.245/2006 du 1 février 2007</w:t>
      </w:r>
    </w:p>
    <w:p>
      <w:r>
        <w:t>IT: TF 5C.245/2006 del 1 febbraio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5C.245/2006 /frs</w:t>
      </w:r>
    </w:p>
    <w:p>
      <w:r>
        <w:t>Arrêt du 1er février 2007</w:t>
      </w:r>
    </w:p>
    <w:p>
      <w:r>
        <w:t>IIe Cour de droit civil</w:t>
      </w:r>
    </w:p>
    <w:p>
      <w:r>
        <w:t>Composition</w:t>
      </w:r>
    </w:p>
    <w:p>
      <w:r>
        <w:t>MM. et Mme les Juges Raselli, Président,</w:t>
      </w:r>
    </w:p>
    <w:p>
      <w:r>
        <w:t>Nordmann et Marazzi.</w:t>
      </w:r>
    </w:p>
    <w:p>
      <w:r>
        <w:t>Greffier: M. Fellay.</w:t>
      </w:r>
    </w:p>
    <w:p>
      <w:r>
        <w:t>Parties</w:t>
      </w:r>
    </w:p>
    <w:p>
      <w:r>
        <w:t>X.________,</w:t>
      </w:r>
    </w:p>
    <w:p>
      <w:r>
        <w:t>demandeur et recourant, représenté par Me Jean-David Pelot, avocat,</w:t>
      </w:r>
    </w:p>
    <w:p>
      <w:r>
        <w:t>contre</w:t>
      </w:r>
    </w:p>
    <w:p>
      <w:r>
        <w:t>A.________ et B.________,</w:t>
      </w:r>
    </w:p>
    <w:p>
      <w:r>
        <w:t>défenderesses et intimées, toutes deux représentées par Me Aba Neeman, avocat,</w:t>
      </w:r>
    </w:p>
    <w:p>
      <w:r>
        <w:t>Objet</w:t>
      </w:r>
    </w:p>
    <w:p>
      <w:r>
        <w:t>partage successoral,</w:t>
      </w:r>
    </w:p>
    <w:p>
      <w:r>
        <w:t>recours en réforme contre l'arrêt de la Chambre des recours du Tribunal cantonal du canton de Vaud</w:t>
      </w:r>
    </w:p>
    <w:p>
      <w:r>
        <w:t>du 10 juillet 2006.</w:t>
      </w:r>
    </w:p>
    <w:p>
      <w:r>
        <w:t>Considérant:</w:t>
      </w:r>
    </w:p>
    <w:p>
      <w:r>
        <w:t>que l'arrêt attaqué confirme un jugement de première instance rejetant une requête en partage successoral déposée par X.________ à l'encontre de A.________ et de B.________;</w:t>
      </w:r>
    </w:p>
    <w:p>
      <w:r>
        <w:t>que le requérant a saisi le Tribunal fédéral d'un recours en réforme et d'un recours de droit public de contenus pratiquement identiques;</w:t>
      </w:r>
    </w:p>
    <w:p>
      <w:r>
        <w:t>que le recours en réforme est irrecevable dans la mesure où les griefs qui y sont invoqués consistent en la violation du droit de procédure cantonal et de droits constitutionnels (art. 43 al. 1 et 55 al. 1 let. c OJ) et en une critique des constatations de fait de l'arrêt attaqué ( art. 55 al. 1 let . c et 63 al. 2 OJ);</w:t>
      </w:r>
    </w:p>
    <w:p>
      <w:r>
        <w:t>que le seul grief en principe recevable est celui tiré de la violation de l' art. 8 CC , mais il se confond, tel qu'il est invoqué, avec celui d'arbitraire dans l'appréciation des preuves, lequel relève du recours de droit public;</w:t>
      </w:r>
    </w:p>
    <w:p>
      <w:r>
        <w:t>que le recours en réforme doit par conséquent être déclaré irrecevable, aux frais de son auteur ( art. 156 al. 1 OJ );</w:t>
      </w:r>
    </w:p>
    <w:p>
      <w:r>
        <w:t>Par ces motifs, vu l' art. 36a OJ 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Un émolument judiciaire de 2'000 fr. est mis à la charge du recourant.</w:t>
      </w:r>
    </w:p>
    <w:p>
      <w:r>
        <w:t>3.</w:t>
      </w:r>
    </w:p>
    <w:p>
      <w:r>
        <w:t>Le présent arrêt est communiqué en copie aux mandataires des parties et à la Chambre des recours du Tribunal cantonal du canton de Vaud.</w:t>
      </w:r>
    </w:p>
    <w:p>
      <w:r>
        <w:t>Lausanne, le 1er février 2007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