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5C.243/1999 vom 17. Februar 2000</w:t>
      </w:r>
    </w:p>
    <w:p>
      <w:r>
        <w:t>Bundesgericht, 2000-02-17, FR</w:t>
      </w:r>
    </w:p>
    <w:p>
      <w:r>
        <w:rPr>
          <w:b/>
        </w:rPr>
        <w:t xml:space="preserve">Quelle: </w:t>
      </w:r>
      <w:r>
        <w:t>https://mcp.opencaselaw.ch/entscheid/bger_5C.243_1999</w:t>
      </w:r>
    </w:p>
    <w:p>
      <w:r>
        <w:t>FR: TF 5C.243/1999 du 17 février 2000</w:t>
      </w:r>
    </w:p>
    <w:p>
      <w:r>
        <w:t>IT: TF 5C.243/1999 del 17 febbraio 2000</w:t>
      </w:r>
    </w:p>
    <w:p>
      <w:pPr>
        <w:pStyle w:val="Heading2"/>
      </w:pPr>
      <w:r>
        <w:t>Regeste</w:t>
      </w:r>
    </w:p>
    <w:p>
      <w:r>
        <w:t>Droit de la famille</w:t>
      </w:r>
    </w:p>
    <w:p>
      <w:pPr>
        <w:pStyle w:val="Heading2"/>
      </w:pPr>
      <w:r>
        <w:t>Erwägungen</w:t>
      </w:r>
    </w:p>
    <w:p>
      <w:r>
        <w:rPr>
          <w:b/>
        </w:rPr>
        <w:t>E. 1</w:t>
      </w:r>
    </w:p>
    <w:p>
      <w:r>
        <w:t>a) L'arrêt attaqué confirme implicitement la décision ordonnant le placement dans un établissement d'un enfant mineur sous autorité parentale. La recevabilité matérielle du présent recours en réforme est régie par l' art. 44 let . f aOJ, dans sa teneur antérieure à la novelle du 26 juin 1998, entrée en vigueur le 1er janvier 2000. En effet, selon le chiffre II de cette novelle (RO 1999, p. 1142), dans la mesure où celle-ci modifie d'autres lois que le code civil, les dispositions transitoires desdites lois sont applicables et, selon l' art. 171 OJ appliqué par analogie à défaut de dispositions finales spéciales, les anciennes dispositions en matière de compétence et de procédure restent applicables aux affaires portées devant le Tribunal fédéral avant l'entrée en vigueur du nouveau droit. b) Selon l' art. 44 let . f aOJ, le recours en réforme est recevable dans les cas de privation de liberté à des fins d'assistance, auxquels il faut assimiler le placement dans un établissement d'un mineur sous autorité parentale, vu le renvoi de l' art. 314a al. 1 CC qui a une très large portée ( ATF 121 III 306 ). Tel est le cas en l'espèce. Interjeté en temps utile contre une décision finale prise par l'autorité suprême du canton, le recours est aussi recevable au regard des art. 48 al. 1 et 54 al. 1 OJ. c) Bien qu'il soit en réforme, le recours tend à l'annulation de l'arrêt entrepris. Il ne saurait être reçu comme recours en nullité, car cette voie de droit a un caractère subsidiaire par rapport à celle du recours en réforme (art. 68 al. 1 in initio OJ; Poudret, COJ II n. 1.1 ad art. 68 OJ ), qui est ouverte en l'espèce. Le recours tend toutefois aussi à la levée de la mesure de placement ordonnée par l'autorité de première instance. Même si le recours fédéral en réforme ne peut viser que la décision cantonale de dernière instance, la recourante était en droit de désigner la mesure contestée comme elle l'a fait, car l'autorité de surveillance n'a pas expressément confirmé cette mesure.</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Il ne peut être présenté de griefs ni contre les constatations de fait ( art. 55 al. 1 let . c OJ), ni contre l'appréciation des preuves à laquelle s'est livrée l'autorité cantonale ( ATF 120 II 97 consid. 2b p. 99; 119 II 84 et arrêts cités). Les faits et preuves nouveaux sont irrecevables ( art. 55 al. 1 let . c OJ. La recourante ne remet pas en cause les faits retenus par l'autorité cantonale, mais dans la mesure où elle se réfère à des faits qui ne ressortent pas de l'arrêt entrepris, sans démontrer en quoi l'une ou l'autre des exceptions susmentionnées serait réalisée, son recours est irrecevable. Il en va notamment ainsi lorsqu'elle invoque l'évolution récente du taux d'absentéisme de X.________ ou l'organisation d'un suivi psychologique auprès d'un praticien du Locle.</w:t>
      </w:r>
    </w:p>
    <w:p>
      <w:r>
        <w:rPr>
          <w:b/>
        </w:rPr>
        <w:t>E. 3</w:t>
      </w:r>
    </w:p>
    <w:p>
      <w:r>
        <w:t>La recourante reproche à l'autorité cantonale de ne pas avoir respecté le principe de subsidiarité et conteste que le développement de X.________ soit compromis. a) Aux termes de l' art. 310 al. 1 CC , lorsqu'elle ne peut éviter autrement que le développement de l'enfant ne soit compromis, l'autorité tutélaire retire l'enfant aux père et mère ou aux tiers chez qui il se trouve et le place de façon appropriée. La première condition d'une telle mesure est l'existence d'une menace, d'un danger pour le développement de l'enfant. Il faut, pour qu'une mesure de retrait du droit de garde et de placement soit justifiée, que le développement de l'enfant ne soit pas assez protégé ou encouragé dans le milieu des parents ou dans le milieu où ceux-ci l'ont placé (Hegnauer, Droit suisse de la filiation, 4e éd. française, n. 27.36 p. 194). Comme toute mesure de protection de l'enfant, le retrait de garde avec placement est aussi régi par les principes de subsidiarité, complémentarité et proportionnalité (idem, n. 27.10 ss p. 185 s.). b) Quant au danger menaçant le développement de X.________, il faut constater un absentéisme scolaire très marqué et durable pendant plusieurs mois, alors que l'enfant n'était âgé que de sept ans. Il y a là le signe du manque flagrant d'autorité de la recourante, qui est présumée faire son possible pour que son fils fréquente régulièrement l'école. La curatrice a d'ailleurs exposé, dans son rapport du 1er juin 1999, que X.________ n'était pas encadré et pouvait obtenir facilement de la recourante de ne pas aller à l'école. Il apparaît donc clairement que le développement, intellectuel à tout le moins, de X.________ est menacé, la fréquentation régulière de l'école étant au surplus, à son âge, le moyen d'intérioriser des normes fondamentales de comportement social. Vu l'attitude de la recourante, qui donne suite aux désirs de son fils plutôt que de collaborer avec la curatrice et l'autorité scolaire, il serait illusoire d'espérer qu'elle remédie d'elle-même à la situation. La mesure querellée respecte donc le principe de subsidiarité. Pour la même raison, on ne saurait parler de complémentarité entre mesures officielles et possibilités de remédier à la situation par la recourante elle-même. Enfin, la mesure est conforme au principe de proportionnalité, car une mesure plus légère, comme un accompagnement médico-pédagogique, à supposer qu'elle soit suffisante, ne serait pas réalisable vu l'attitude oppositionnelle de la recourante. On peut enfin remarquer que l'étroitesse du lien unissant la mère à son fils, invoquée par la recourante, ne plaide pas en faveur d'une renonciation à une mesure de placement. Le recours doit donc être rejeté.</w:t>
      </w:r>
    </w:p>
    <w:p>
      <w:r>
        <w:rPr>
          <w:b/>
        </w:rPr>
        <w:t>E. 4</w:t>
      </w:r>
    </w:p>
    <w:p>
      <w:r>
        <w:t>L'échec prévisible des conclusions de la recourante commande le rejet de sa demande d'assistance judiciaire ( art. 152 al. 1 OJ ) et sa condamnation aux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