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5C.241/2001 vom 15. Oktober 2001</w:t>
      </w:r>
    </w:p>
    <w:p>
      <w:r>
        <w:t>Bundesgericht, 2001-10-15, FR</w:t>
      </w:r>
    </w:p>
    <w:p>
      <w:r>
        <w:rPr>
          <w:b/>
        </w:rPr>
        <w:t xml:space="preserve">Quelle: </w:t>
      </w:r>
      <w:r>
        <w:t>https://mcp.opencaselaw.ch/entscheid/bger_5C.241_2001</w:t>
      </w:r>
    </w:p>
    <w:p>
      <w:r>
        <w:t>FR: TF 5C.241/2001 du 15 octobre 2001</w:t>
      </w:r>
    </w:p>
    <w:p>
      <w:r>
        <w:t>IT: TF 5C.241/2001 del 15 ottobre 2001</w:t>
      </w:r>
    </w:p>
    <w:p>
      <w:pPr>
        <w:pStyle w:val="Heading2"/>
      </w:pPr>
      <w:r>
        <w:t>Regeste</w:t>
      </w:r>
    </w:p>
    <w:p>
      <w:r>
        <w:t>Droit de la famille</w:t>
      </w:r>
    </w:p>
    <w:p>
      <w:pPr>
        <w:pStyle w:val="Heading2"/>
      </w:pPr>
      <w:r>
        <w:t>Erwägungen</w:t>
      </w:r>
    </w:p>
    <w:p>
      <w:r>
        <w:rPr>
          <w:b/>
        </w:rPr>
        <w:t>E. 1</w:t>
      </w:r>
    </w:p>
    <w:p>
      <w:r>
        <w:t>Interjeté en temps utile contre une décision finale rendue par l'autorité suprême du canton, le recours est recevable au regard des art. 48 al. 1 et 54 al. 1 OJ. Comme les droits contestés dans la dernière instance cantonale dépassent 8'000 fr., il l'est aussi selon l' art. 46 OJ .</w:t>
      </w:r>
    </w:p>
    <w:p>
      <w:r>
        <w:rPr>
          <w:b/>
        </w:rPr>
        <w:t>E. 2</w:t>
      </w:r>
    </w:p>
    <w:p>
      <w:r>
        <w:t>a) Dans le recours en réforme, l'acte de recours doit contenir l'indication exacte des points attaqués de la décision et des modifications demandées ( art. 55 al. 1 let. b OJ ). Comme il s'agit d'un recours en réforme et non d'un recours cassatoire, le recourant ne doit pas se borner à demander l'annulation de la décision attaquée; il doit prendre des conclusions sur le fond du litige (Corboz, Le recours en réforme au Tribunal fédéral, in SJ 2000 II p. 45). Il n'est autorisé à conclure à l'annulation de la décision attaquée que si le Tribunal fédéral, en cas d'admission du recours, ne serait de toute manière pas en situation de statuer lui-même sur le fond et ne pourrait que renvoyer la cause à l'autorité cantonale ( ATF 125 III 412 consid. 1b p. 414/415; 111 II 384 consid. 1 p. 386; 104 II 209 consid. 1 p. 210/211 et les arrêts cités). b) En l'espèce, le recourant n'indique pas quelles modifications de l'arrêt cantonal il requiert. Dans la motivation de son recours, il met en cause, par le biais du grief tiré de la violation du droit à la preuve, la qualité de l'adverse partie pour requérir des aliments et, pour autant que son mémoire soit compréhensible, la détermination du montant de la pension mise à sa charge. Rien dans son argumentation ne permet de dire que le Tribunal fédéral ne serait pas en mesure de statuer sur ces questions sur la base des faits souverainement constatés par l'autorité cantonale. Le recourant ne pouvait donc pas se limiter à conclure à l'annulation de la décision entreprise. Dépourvu de conclusions réformatoires précises sur le fond, son recours doit à l'évidence être déclaré irrecevable. Au demeurant, il invoque de nombreuses dispositions du droit cantonal de procédure, dont la violation ne peut être examinée dans le recours en réforme ( art. 43 al. 1 OJ ).</w:t>
      </w:r>
    </w:p>
    <w:p>
      <w:r>
        <w:rPr>
          <w:b/>
        </w:rPr>
        <w:t>E. 3</w:t>
      </w:r>
    </w:p>
    <w:p>
      <w:r>
        <w:t>Le recours était ainsi d'emblée dépourvu de toutes chances de succès, si bien que la requête d'assistance judiciaire ne peut qu'être rejetée ( art. 152 al. 1 OJ ). Les frais de la présente procédure seront donc supportés par le recourant, qui succombe ( art. 156 al. 1 OJ ). Il n'y a pas lieu d'allouer des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