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5C.23/2005 vom 5. April 2005</w:t>
      </w:r>
    </w:p>
    <w:p>
      <w:r>
        <w:t>Bundesgericht, 2005-04-05, DE</w:t>
      </w:r>
    </w:p>
    <w:p>
      <w:r>
        <w:rPr>
          <w:b/>
        </w:rPr>
        <w:t xml:space="preserve">Quelle: </w:t>
      </w:r>
      <w:r>
        <w:t>https://mcp.opencaselaw.ch/entscheid/bger_5C.23_2005</w:t>
      </w:r>
    </w:p>
    <w:p>
      <w:r>
        <w:t>FR: TF 5C.23/2005 du 5 avril 2005</w:t>
      </w:r>
    </w:p>
    <w:p>
      <w:r>
        <w:t>IT: TF 5C.23/2005 del 5 aprile 2005</w:t>
      </w:r>
    </w:p>
    <w:p>
      <w:pPr>
        <w:pStyle w:val="Heading2"/>
      </w:pPr>
      <w:r>
        <w:t>Regeste</w:t>
      </w:r>
    </w:p>
    <w:p>
      <w:r>
        <w:t>Anfechtung eines Beschlusses der Stockwerkeigentümerversammlung | Sachenrecht</w:t>
      </w:r>
    </w:p>
    <w:p>
      <w:pPr>
        <w:pStyle w:val="Heading2"/>
      </w:pPr>
      <w:r>
        <w:t>Erwägungen</w:t>
      </w:r>
    </w:p>
    <w:p>
      <w:r>
        <w:rPr>
          <w:b/>
        </w:rPr>
        <w:t>E. 1</w:t>
      </w:r>
    </w:p>
    <w:p>
      <w:r>
        <w:t>Das Stockwerkeigentum als besondere Form des Miteigentums an einem Grundstück stellt wie das Eigentum an einer Sache überhaupt ein typisches Vermögensrecht dar. Streitigkeiten im Zusammenhang mit dem Stockwerkeigentum sind deshalb grundsätzlich vermögensrechtlicher Natur. Dies gilt nach der publizierten Rechtsprechung des Bundesgerichts auch für die Versammlung der Stockwerkeigentümer und die Anfechtung der von ihr gefassten Beschlüsse, obwohl das Gesetz hierfür auf das Vereinsrecht verweist ( BGE 108 II 77 ). Bei vermögensrechtlichen Streitigkeiten, deren Gegenstand nicht in einer bestimmt bezifferten Geldsumme besteht, ist in der Berufungsschrift anzugeben, ob der erforderliche Streitwert von Fr. 8'000.-- erreicht ist ( Art. 46 und Art. 55 Abs. 1 lit. a OG ). Geht die Klage nicht auf Bezahlung einer bestimmten Geldsumme, setzt das Bundesgericht den Streitwert von Amtes wegen nach freiem Ermessen fest ( Art. 36 Abs. 2 OG ). Dabei ist jedoch auf die Berufung nicht einzutreten, wenn sich der Streitwert nicht ohne weiteres und mit Sicherheit der Berufung, dem angefochtenen Entscheid oder den Akten entnehmen lässt ( BGE 109 II 491 ; Poudret/Sandoz-Monod, Commentaire de la loi fédérale d'organisation judiciaire, Band 2, Bern 1990, Ziff. 1.3.3 und 1.3.4 zu Art. 55 OG m.w.H.). Aus dem angefochtenen Urteil ergibt sich, dass dem Kläger mit dem angefochtenen Beschluss Kosten von Fr. 7'671.95 auferlegt worden sind. Die Beklagte geht in ihrer Berufungsschrift davon aus, dass gar kein Streitwert gegeben sei. Unter diesen Voraussetzungen ist nicht dargelegt, dass der notwendige Berufungsstreitwert von Fr. 8'000.-- erreicht ist. Ebenso wenig ist es dem Bundesgericht möglich, den Streitwert aufgrund der vorhandenen Akten ohne weiteres und mit Sicherheit festzulegen. Auf die Berufung ist folglich nicht einzutreten. Eine Konversion der Berufung in eine staatsrechtliche Beschwerde scheitert daran, dass die Ausführungen der Beklagten appellatorisch sind (vgl. dazu BGE 107 Ia 186 ; 125 I 492 E. 1b S. 495 ; 130 I 258 E. 1.3 S. 262) und sie nicht aufzeigt, welche verfassungsmässigen Rechte und inwiefern diese durch den angefochtenen Entscheid verletzt worden sind (Rügeprinzip nach Art. 90 Abs. 1 lit. b OG ).</w:t>
      </w:r>
    </w:p>
    <w:p>
      <w:r>
        <w:rPr>
          <w:b/>
        </w:rPr>
        <w:t>E. 2</w:t>
      </w:r>
    </w:p>
    <w:p>
      <w:r>
        <w:t>Zufolge Nichteintretens ist der Beklagten eine reduzierte Gerichtsgebühr aufzuerlegen ( Art. 156 Abs. 1 OG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