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5C.224/2000 vom 9. November 2000</w:t>
      </w:r>
    </w:p>
    <w:p>
      <w:r>
        <w:t>Bundesgericht, 2000-11-09, IT</w:t>
      </w:r>
    </w:p>
    <w:p>
      <w:r>
        <w:rPr>
          <w:b/>
        </w:rPr>
        <w:t xml:space="preserve">Quelle: </w:t>
      </w:r>
      <w:r>
        <w:t>https://mcp.opencaselaw.ch/entscheid/bger_5C.224_2000</w:t>
      </w:r>
    </w:p>
    <w:p>
      <w:r>
        <w:t>FR: TF 5C.224/2000 du 9 novembre 2000</w:t>
      </w:r>
    </w:p>
    <w:p>
      <w:r>
        <w:t>IT: TF 5C.224/2000 del 9 novembre 2000</w:t>
      </w:r>
    </w:p>
    <w:p>
      <w:pPr>
        <w:pStyle w:val="Heading2"/>
      </w:pPr>
      <w:r>
        <w:t>Regeste</w:t>
      </w:r>
    </w:p>
    <w:p>
      <w:r>
        <w:t>Diritto di famiglia</w:t>
      </w:r>
    </w:p>
    <w:p>
      <w:pPr>
        <w:pStyle w:val="Heading2"/>
      </w:pPr>
      <w:r>
        <w:t>Erwägungen</w:t>
      </w:r>
    </w:p>
    <w:p>
      <w:r>
        <w:rPr>
          <w:b/>
        </w:rPr>
        <w:t>E. 1</w:t>
      </w:r>
    </w:p>
    <w:p>
      <w:r>
        <w:t>Interposto in tempo utile contro una decisione finale dell'autorità superiore cantonale in una contestazione civile, il ricorso per riforma è per principio ricevibile (art. 44 cpv. 1 lett. c OG).</w:t>
      </w:r>
    </w:p>
    <w:p>
      <w:r>
        <w:rPr>
          <w:b/>
        </w:rPr>
        <w:t>E. 2</w:t>
      </w:r>
    </w:p>
    <w:p>
      <w:r>
        <w:t>La decisione impugnata è completa e sufficientemente diffusa e offre una risposta puntuale e corredata da pertinenti citazioni della dottrina e giurisprudenza applicabili al caso concreto. Nulla di nuovo adduce la ricorrente che necessiti ulteriori e più complete argomentazioni rispetto a quelle contenute nell'impugnato giudizio. Ragione per la quale il Tribunale federale rinuncia a ribadire quelle motivazioni, rinviando direttamente e semplicemente alle stesse (36a cpv. 3 OG). Anche se la ricorrente non lo dice, potrebbe però darsi che essa ritenga di adire il Tribunale federale, ond'esso applichi il chiaro testo dell' art. 264a cpv. 3 CC in senso diverso e contrario a quello letterale. Ciò può avvenire, come correttamente rilevato dai giudici cantonali, solo se il testo - chiaro e non equivoco - della norma porti a risultati estranei alla volontà del legislatore ( DTF 125 III 57 e consid. 2b e rinvio). Ora, in concreto, la legge prevede che un coniuge può adottare il figlio dell'altro se i coniugi sono sposati da cinque anni: il testo è chiarissimo e corrisponde esattamente alla volontà del legislatore, il quale con questa condizione voleva - tra altro - istituire un criterio per valutare la solidità dell'unione coniugale, che in larga misura si sfalda entro questo lasso di tempo (Messaggio sulla revisione del Codice civile svizzero (stato civile, matrimonio, divorzio, filiazione, assistenza tra parenti, asili di famiglia, tutela e mediazione matrimoniale) del 15 novembre 1995, FF 1996 I 1, pag. 172 e il rinvio a pag. 21 seg.) e non di una qualsivoglia unione di fatto. Anche il diverso atteggiamento verso l'unione di coppie non sposate che si verifica negli ultimi anni non permette ancora di scostarsi dal testo di legge in narrativa, specie se si considera che esso è appena stato introdotto ed è entrato in vigore solo il 1° gennaio di quest'anno. Ne segue, in definitiva, che il gravame, manifestamente infondato, va respinto. La tassa di giustizia segue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