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5C.221/2000 vom 14. November 2000</w:t>
      </w:r>
    </w:p>
    <w:p>
      <w:r>
        <w:t>Bundesgericht, 2000-11-14, DE</w:t>
      </w:r>
    </w:p>
    <w:p>
      <w:r>
        <w:rPr>
          <w:b/>
        </w:rPr>
        <w:t xml:space="preserve">Quelle: </w:t>
      </w:r>
      <w:r>
        <w:t>https://mcp.opencaselaw.ch/entscheid/bger_5C.221_2000</w:t>
      </w:r>
    </w:p>
    <w:p>
      <w:r>
        <w:t>FR: TF 5C.221/2000 du 14 novembre 2000</w:t>
      </w:r>
    </w:p>
    <w:p>
      <w:r>
        <w:t>IT: TF 5C.221/2000 del 14 novembre 2000</w:t>
      </w:r>
    </w:p>
    <w:p>
      <w:pPr>
        <w:pStyle w:val="Heading2"/>
      </w:pPr>
      <w:r>
        <w:t>Regeste</w:t>
      </w:r>
    </w:p>
    <w:p>
      <w:r>
        <w:t>Familienrecht</w:t>
      </w:r>
    </w:p>
    <w:p>
      <w:pPr>
        <w:pStyle w:val="Heading2"/>
      </w:pPr>
      <w:r>
        <w:t>Erwägungen</w:t>
      </w:r>
    </w:p>
    <w:p>
      <w:r>
        <w:rPr>
          <w:b/>
        </w:rPr>
        <w:t>E. 1</w:t>
      </w:r>
    </w:p>
    <w:p>
      <w:r>
        <w:t>Die Klägerin begnügt sich mit einem Aufhebungs- und Rückweisungsantrag. a) Die Berufung an das Bundesgericht ist ein ordentliches, reformatorisches Rechtsmittel. Sie hat grundsätzlich aufschiebende Wirkung ( Art. 54 Abs. 2 OG ) und führt zu einem neuen Sachentscheid, der das kantonale Urteil ersetzt (Messmer/Imboden, Die eidgenössischen Rechtsmittel in Zivilsachen, S. 55, Ziff. 36). In der Berufung ist deshalb genau anzugeben, welche Abänderungen des angefochtenen Entscheids verlangt werden ( Art. 55 Abs. 1 lit. b OG ); geht es um eine Geldforderung, ist diese zu beziffern. Allerdings genügt ein blosser Rückweisungsantrag in Fällen, da das Bundesgericht die Rechtsauffassung des Berufungsklägers für begründet hält, selber jedoch kein Endurteil fällen kann, sondern die Sache zu weiteren Abklärungen an die kantonale Instanz zurückweisen muss ( BGE 110 II 74 E. 1 S. 78; 106 II 201 E. 1 S. 203; Messmer/Imboden, a.a.O., S. 151, Ziff. 113; Poudret/Sandoz-Monod, Commentaire de la loi fédérale d'organisation judiciaire, II. Bd., S. 423, N 1.4.1.4 zu Art. 55; Peter Münch, in: Geiser/Münch [Hrsg. ], Prozessieren vor Bundesgericht,</w:t>
      </w:r>
    </w:p>
    <w:p>
      <w:r>
        <w:rPr>
          <w:b/>
        </w:rPr>
        <w:t>E. 2</w:t>
      </w:r>
    </w:p>
    <w:p>
      <w:r>
        <w:t>Bei diesem Ergebnis wird die Klägerin kostenpflichtig ( Art. 156 Abs. 1 OG ). Wegen des Fehlens eines rechtsgenüglichen Antrags erschien die Berufung von vornherein als aussichtslos. Das Gesuch um Gewährung der unentgeltlichen Rechtspflege ist deshalb abzuweisen (vgl. Art. 152 Abs. 1 OG ). Da keine Berufungsantwort eingeholt worden ist, sind dem Beklagten keine Kosten erwachsen, so dass die Zusprechung einer Parteientschädigung von vornherein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