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5C.205/2001 vom 29. Oktober 2001</w:t>
      </w:r>
    </w:p>
    <w:p>
      <w:r>
        <w:t>Bundesgericht, 2001-10-29, FR</w:t>
      </w:r>
    </w:p>
    <w:p>
      <w:r>
        <w:rPr>
          <w:b/>
        </w:rPr>
        <w:t xml:space="preserve">Quelle: </w:t>
      </w:r>
      <w:r>
        <w:t>https://mcp.opencaselaw.ch/entscheid/bger_5C.205_2001</w:t>
      </w:r>
    </w:p>
    <w:p>
      <w:r>
        <w:t>FR: TF 5C.205/2001 du 29 octobre 2001</w:t>
      </w:r>
    </w:p>
    <w:p>
      <w:r>
        <w:t>IT: TF 5C.205/2001 del 29 ottobre 2001</w:t>
      </w:r>
    </w:p>
    <w:p>
      <w:pPr>
        <w:pStyle w:val="Heading2"/>
      </w:pPr>
      <w:r>
        <w:t>Erwägungen</w:t>
      </w:r>
    </w:p>
    <w:p>
      <w:r>
        <w:rPr>
          <w:b/>
        </w:rPr>
        <w:t>E. 1</w:t>
      </w:r>
    </w:p>
    <w:p>
      <w:r>
        <w:t>Les droits contestés dans la dernière instance cantonale atteignent d'après les conclusions du demandeur une valeur, calculée conformément à l' art. 36 al. 4 et 5 OJ , d'au moins 8'000 fr.; le recours est donc recevable sous l'angle de l' art. 46 OJ . Déposé en temps utile contre une décision finale prise en dernière instance cantonale, il est également recevable du chef des art. 54 al. 1 et 48 al. 1 OJ.</w:t>
      </w:r>
    </w:p>
    <w:p>
      <w:r>
        <w:rPr>
          <w:b/>
        </w:rPr>
        <w:t>E. 2</w:t>
      </w:r>
    </w:p>
    <w:p>
      <w:r>
        <w:t>a) En ce qui concerne le principe d'une contribution d'entretien en faveur de la défenderesse, la cour cantonale a constaté que la défenderesse, qui avait 47 ans lors du prononcé du divorce, a consacré, d'entente avec son époux, la majeure partie de ses 26 ans de mariage aux soins de sa famille. Elle a repris en 1993 une activité lucrativeà temps partiel comme enseignante au Cycle d'orientation X.________, où son taux d'occupation est actuellement de 69,23%. Elle est au bénéfice d'un statut de droit public et non d'une nomination, ce qui lui assure, pour la période administrative 2000-2004, un demi horaire d'enseignement.</w:t>
      </w:r>
    </w:p>
    <w:p>
      <w:r>
        <w:t>Cependant, elle est la dernière arrivée des maîtresses chargées de l'enseignement de l'économie familiale; par conséquent, son statut revêt une certaine précarité, car il est très difficile de connaître à l'avance le nombre de cours de cette discipline qui seront effectivement mis sur pied. D'autre part, la procédure a révélé que l'état de santé de la défenderesse ne lui permettait pas d'avoir une activité professionnelle à temps complet.</w:t>
      </w:r>
    </w:p>
    <w:p>
      <w:r>
        <w:t>Sur la base de ces constatations, la cour cantonale a considéré que la défenderesse a fourni tous les efforts que l'on pouvait attendre d'elle compte tenu du mode de vie du couple avant la séparation, de sa formation, de son âge et de son état de santé déficient. Son statut professionnel et son état de santé précaires ne lui permettant pas d'augmenter son temps de travail, il ne peut lui être demandé de faire face seule à ses besoins (arrêt attaqué, consid. 2a p. 6).</w:t>
      </w:r>
    </w:p>
    <w:p>
      <w:r>
        <w:t>b) Pour ce qui est de la durée de la contribution d'entretien en faveur de la défenderesse, l'autorité cantonale a considéré que la défenderesse, qui a concédé de grands sacrifices pour sa famille et était dépendante pendant les 26 ans qu'a duré le mariage de l'aide de son mari, a contribué de manière conséquente à réduire son dommage puisque, malgré les problèmes de santé importants qui existaient déjà durant l'union conjugale, elle a repris progressivement une activité professionnelle et a obtenu aujourd'hui un poste à près de 70% comme enseignante. Toujours selon l'autorité cantonale, il convient en outre de ne pas perdre de vue que le demandeur a bénéficié d'un contrat de séparation de biens privant la défenderesse de tous bénéfices de l'union conjugale et qu'il dispose d'une fortune substantielle; en effet, sa fortune fiscale était de 214'000 fr. au 1er janvier 1999, auxquels s'ajoutent 54'000 fr. hérités par la suite ainsi que la propriété exclusive de son appartement. Cela étant, les juges cantonaux ont estimé qu'il se justifiait d'astreindre le demandeur à contribuer à l'entretien de la défenderesse par le versement d'une rente illimitée dans le temps (arrêt attaqué, consid. 2b/aa p. 7/8).</w:t>
      </w:r>
    </w:p>
    <w:p>
      <w:r>
        <w:t>c) S'agissant enfin du montant de la contribution d'entretien en faveur de la défenderesse, l'autorité cantonale a constaté que le demandeur travaillait auparavant dans l'entreprise familiale K.________ SA pour un salaire mensuel net de 6'835 fr. 90. Le 25 janvier 2000, soit pendant la procédure de divorce en première instance, il a décidé de quitter volontairement cette entreprise parce qu'il ne s'y sentait plus bien, ce qu'il a fait en août 2000. En septembre 2000, il a commencé à travailler comme agent technico-commer-cial dans l'entreprise Y.________ pour un salaire mensuel net moyen, treizième salaire compris, de 6'773 fr. 70. À cette somme s'ajoutent 1'226 fr. 40 à titre de revenus des capitaux et des biens-fonds, d'où des revenus moyens de 8'000 fr. 10 pour la période d'octobre 2000 à avril 2001. Son salaire lui est assuré jusqu'au 30 juin 2001, date à laquelle le contrat qui le lie à l'entreprise Y.________ prendra fin en raison d'une restructuration de cette entreprise. Il a été libéré de son obligation de travailler depuis le mois de février 2001.</w:t>
      </w:r>
    </w:p>
    <w:p>
      <w:r>
        <w:t>La cour cantonale s'est déclarée convaincue que les relations professionnelles et extra-professionnelles du demandeur - qui est président de la société ..., membre du comité de ... et de club-service (...) -, son expérience et sa personnalité lui permettront de retrouver rapidement un emploi lui assurant des revenus comparables à ses revenus actuels, soit 8'000 fr. net par mois (arrêt attaqué, consid. 2b/bb et cc p. 8-10).</w:t>
      </w:r>
    </w:p>
    <w:p>
      <w:r>
        <w:t>D'après les constatations de l'autorité cantonale, les charges du demandeur s'élèvent à 4'981 fr. 50, y compris les frais qu'il assume pour son fils majeur encore en formation par 868 fr. 30, de sorte que son disponible actuel s'élève à 3'018 fr. 60 (8'000 fr. 10 - 4'981 fr. 50). Quant à la défenderesse, son salaire net se monte à 4'067 fr. 20 par mois, treizième salaire compris, et ses charges à 3'454 fr.</w:t>
      </w:r>
    </w:p>
    <w:p>
      <w:r>
        <w:t>par mois, d'où un disponible de 613 fr. 20 (4'067 fr. 20 - 3'454 fr.) (arrêt attaqué, consid. 2b/bb p. 8/9).</w:t>
      </w:r>
    </w:p>
    <w:p>
      <w:r>
        <w:t>Selon les juges cantonaux, il paraît équitable, pour assurer l'entretien convenable de la défenderesse, de la faire bénéficier de la moitié (1'815 fr. 90) du disponible total (3'018 fr. 60 + 613 fr. 20 = 3'631 fr. 80), en astreignant le demandeur à lui verser une rente mensuelle arrondie de 1'200 fr. dès le prononcé du divorce (1'815 fr. 90 - 613 fr. 20 = 1'202 fr. 70) (arrêt attaqué, consid. 2b/bb p. 9).</w:t>
      </w:r>
    </w:p>
    <w:p>
      <w:r>
        <w:t>Cette rente doit être portée à 1'430 fr. par mois à partir de juillet 2001, date à laquelle le disponible du demandeur s'accroîtra de 473 fr. 30 dès lors qu'il n'aura plus la charge de son fils, qui terminera son apprentissage de cuisinier (arrêt attaqué, consid. 2b/cc p. 10). La rente doit ensuite être portée à 1'500 fr. dès juillet 2008, où l'assurance-vie conclue par le demandeur arrivera à échéance, lui assurant un revenu supplémentaire de 154 fr. par mois (arrêt attaqué, consid. 2b/dd p. 10). La rente doit une nouvelle fois être adaptée dès mars 2013, où le demandeur atteindra l'âge de la retraite de sorte que ses revenus diminueront à 7'101 fr. 25 (arrêt attaqué, consid. 2b/ee p. 10); le disponible total passant ainsi à 3'601 fr. 25, une rente de 1'170 fr. permettra à la défenderesse de disposer de presque la moitié du disponible total (1'170 fr. + 613 fr. 20 = 1'783 fr. 20).</w:t>
      </w:r>
    </w:p>
    <w:p>
      <w:r>
        <w:t>Enfin, une dernière adaptation doit intervenir dès juin 2017, où c'est la défenderesse qui atteindra l'âge de la retraite de manière que ses revenus passeront à 4'523 fr. (rente AVS 2'010 fr. + rente LPP 2'515 fr.); son disponible devrait alors être de 1'069 fr. (4'523 fr. - 3'454 fr.), de sorte qu'une rente de 830 fr. lui assurera un niveau de vie convenable (arrêt attaqué, consid. 2b/ff p. 10).</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 consid. 2c; 126 III 59 consid. 2a; 119 II 353 consid. 5c/aa). Dans la mesure où le demandeur présente un état de fait qui s'écarte de celui contenu dans l'arrêt attaqué sans être en mesure de se prévaloir de l'une des exceptions qui viennent d'être rappelées, il n'est pas possible d'en tenir compte ( ATF 127 III 248 , consid. 2c).</w:t>
      </w:r>
    </w:p>
    <w:p>
      <w:r>
        <w:t>Il en va ainsi lorsque le demandeur reproche à la cour cantonale d'avoir retenu que le statut professionnel et l'état de santé précaires de la défenderesse ne lui permettent pas d'augmenter son temps de travail, que la défenderesse a concédé de grands sacrifices pour sa famille, ou encore que le demandeur a bénéficié d'un contrat de séparation de biens privant la défenderesse de tous bénéfices de l'union conjugale et qu'il dispose d'une fortune substantielle. Il en va de même lorsque le demandeur se plaint de ce que l'autorité cantonale, en retenant qu'il n'aurait plus d'emploi à partir du 1er juillet 2001 mais que ses relations professionnelles et extra-professionnelles, son expérience et sa personnalité lui permettraient de retrouver rapidement un emploi lui assurant des revenus comparables à ses revenus actuels, n'aurait de manière erronée pas pris en considération le cas de chômage qui apparaissait pourtant évident et s'est d'ailleurs réalisé. Dirigées contre des constatations de fait, respectivement contre l'appréciation des preuves à laquelle s'est livrée l'autorité cantonale, ces critiques - d'ailleurs déjà présentées dans le recours de droit public (cf. consid. 4 de l'arrêt rendu ce jour sur le recours de droit public connexe - sont irrecevables en instance de réforme ( art. 55 al. 1 let . c OJ; ATF 126 III 189 consid. 2a; 125 III 78 consid. 3a).</w:t>
      </w:r>
    </w:p>
    <w:p>
      <w:r>
        <w:rPr>
          <w:b/>
        </w:rPr>
        <w:t>E. 4</w:t>
      </w:r>
    </w:p>
    <w:p>
      <w:r>
        <w:t>Le demandeur remet en cause les montants et la durée de la contribution d'entretien allouée à la défenderesse.</w:t>
      </w:r>
    </w:p>
    <w:p>
      <w:r>
        <w:t>Il se plaint d'une violation de l' art. 125 al. 1 et 2 CC ainsi que de l' art. 126 al. 3 CC et de la jurisprudence y relative.</w:t>
      </w:r>
    </w:p>
    <w:p>
      <w:r>
        <w:t>Il fait valoir que la défenderesse avait 47 ans au moment où le divorce a été prononcé après 26 ans de mariage, mais qu'elle avait 44,5 ans au moment de l'ouverture d'action et 40 ans lorsqu'elle a repris son activité lucrative; il n'y aurait donc pas lieu d'appliquer la jurisprudence rendue sous l'empire de l'ancien droit selon laquelle l'épouse âgée de 45 ans ou plus avait en principe droit à une rente non limitée dans le temps ( ATF 115 II 6 ), d'autant que le nouveau droit, au contraire de l'ancien, consacre le principe de l'indépendance financière des époux après le divorce. Au surplus, le revenu mensuel net de 4'067 fr. 20 que réalise la défenderesse pour un taux d'occupation de 69,23% lui permettrait déjà de pourvoir elle-même à son entretien convenable au sens de l' art. 125 al. 1 CC , puisqu'il lui laisse un disponible de 613 fr. 20 après couverture de ses charges.</w:t>
      </w:r>
    </w:p>
    <w:p>
      <w:r>
        <w:t>a) Selon l' art. 125 CC , si l'on ne peut raisonnablement attendre d'un époux qu'il pourvoie lui-même à son entretien convenable, y compris à la constitution d'une prévoyance vieillesse appropriée, son conjoint lui doit une contribution équitable. Cette disposition concrétise deux principes: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de façon non exhaustive à l' art. 125 al. 2 CC .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 ATF 127 III 136 consid. 2a p. 138/139 et les nombreuses références citées).</w:t>
      </w:r>
    </w:p>
    <w:p>
      <w:r>
        <w:t>b) En l'espèce, la question n'est pas de savoir s'il peut être exigé de la défenderesse, âgée de 47 ans au moment du divorce, qu'elle reprenne une activité lucrative (cf. ATF 115 II 6 ). Il est en effet constant que la défenderesse a repris en cours de mariage déjà une activité lucrative, activité qu'elle exerce actuellement à un taux d'occupation de 69,23% qui ne pourra être augmenté en raison du statut professionnel et de l'état de santé précaires de la défenderesse.</w:t>
      </w:r>
    </w:p>
    <w:p>
      <w:r>
        <w:t>Dès lors qu'une amélioration de la capacité de gain de la défenderesse n'entre ainsi pas en ligne de compte, on ne saurait reprocher aux juges cantonaux d'avoir violé le droit fédéral en admettant que la défenderesse avait droit à une rente de durée indéterminée (Hausheer, Der Scheidungsunter-halt und die Familienwohnung, in Vom alten zum neuen Scheidungsrecht, p. 119 ss, n. 3.61 p. 151/152; Stettler, Les pensions alimentaires consécutives au divorce, in Le nouveau droit du divorce, Lausanne 2000, p. 161/162; Schwenzer, Praxiskommentar Scheidungsrecht, Bâle 2000, n. 36 ad art. 125 CC ), dans la mesure où elle ne peut assurer seule son propre entretien convenable. Il convient donc d'examiner ci-après (consid. c) si le revenu mensuel net de 4'067 fr. 20 que réalise la défenderesse lui permet de pourvoir elle-même à son entretien convenable au sens de l' art. 125 al. 1 CC .</w:t>
      </w:r>
    </w:p>
    <w:p>
      <w:r>
        <w:t>c) Les juges cantonaux ont considéré qu'il paraissait équitable, pour assurer l'entretien convenable de la défenderesse, de la faire bénéficier de la moitié du disponible total restant aux ex-époux après couverture de leurs charges respectives. Ils ont ensuite prévu l'adaptation du montant de la rente, d'abord à la hausse (dès juillet 2001 puis dès juillet 2008), puis à la baisse (dès mars 2013 puis dès juin 2017), en fonction des divers changements prévisibles dans la situation économique des parties, de manière à permettre à la défenderesse de toujours bénéficier d'environ la moitié du disponible total des ex-époux (cf. consid. 2c supra). Cette manière de procéder ne prête pas le flanc à la critique, en tout cas dans les circonstances de la présente espèce.</w:t>
      </w:r>
    </w:p>
    <w:p>
      <w:r>
        <w:t>En effet, il est généralement admis que l'ex-époux qui dépend de l'autre pour son entretien convenable a droit dans l'idéal à un montant qui, ajouté à ses ressources propres, lui permette de maintenir le train de vie mené durant le mariage; comme il n'est le plus souvent pas possible de maintenir le même train de vie dans le cadre de deux ménages désormais distincts, le créancier d'entretien a alors droit au même train de vie que le débiteur d'entretien, dans la mesure où la situation financière de ce dernier le permet, dans les limites d'un entretien convenable (Hausheer, op.</w:t>
      </w:r>
    </w:p>
    <w:p>
      <w:r>
        <w:t>cit. , n. 3.53 et 3.54; Sutter/Freiburghaus, Kommentar zum neuen Scheidungsrecht, Zurich 1999, n. 13 à 15 ad art. 125 CC ; Klopfer, Nachehelicher Unterhalt, Wohnungszuteilung, in Das neue Scheidungsrecht, p. 79 ss, 84; Schwenzer, op. cit. , n. 5 ad art. 125 CC ; cf. ATF 118 II 376 ). Pour arriver à ce résultat, l'une des méthodes préconisées par la doctrine consiste à déterminer en premier lieu les besoins de base de chaque conjoint, puis à élargir le montant obtenu par l'ajout des dépenses non strictement nécessaires; sur cette base, on calcule la contribution d'entretien de manière à ce que les deux époux bénéficient dans une égale mesure du "disponible" total restant après couverture de leurs charges respectives, étant précisé qu'il en va différemment en présence de situations économiques particulièrement favorables ou lorsqu'au contraire, les ressources cumulées des époux ne suffisent pas à couvrir leurs charges (Hausheer, op. cit. , n. 3.55 à 3.59; Schwenzer, op. cit. , n. 75 à 78 ad art. 125 CC ; Stettler, op.</w:t>
      </w:r>
    </w:p>
    <w:p>
      <w:r>
        <w:t>cit. , p. 160/161; Sutter/Freiburghaus, op. cit. , n. 118 ad art. 125 CC ). Le juge peut prévoir que la contribution d'entretien sera adaptée - à la hausse ou à la baisse - à des moments déterminés en fonction de l'évolution prévisible de la situation financière des parties (Hausheer, op. cit. , n. 3.50).</w:t>
      </w:r>
    </w:p>
    <w:p>
      <w:r>
        <w:t>En choisissant, dans le cadre de son large pouvoir d'appréciation ( art. 4 CC ; FF 1996 I 119), de faire application - d'une manière qui échappe à la critique - de la méthode qui vient d'être exposée, la cour cantonale n'a pas violé le droit fédéral, eu égard aux circonstances de l'espèce.</w:t>
      </w:r>
    </w:p>
    <w:p>
      <w:r>
        <w:rPr>
          <w:b/>
        </w:rPr>
        <w:t>E. 5</w:t>
      </w:r>
    </w:p>
    <w:p>
      <w:r>
        <w:t>Il résulte de ce qui précède que le recours doit être rejeté dans la mesure où il est recevable, ce qui entraîne la confirmation de l'arrêt attaqué. Le demandeur, qui succombe, supportera les frais judiciaires ( art. 156 al. 1 OJ ). Il n'aura en revanche pas à payer de dépens, la défenderesse n'ayant pas été invitée à répondre au recours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