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5C.203/2000 vom 26. Oktober 2000</w:t>
      </w:r>
    </w:p>
    <w:p>
      <w:r>
        <w:t>Bundesgericht, 2000-10-26, DE</w:t>
      </w:r>
    </w:p>
    <w:p>
      <w:r>
        <w:rPr>
          <w:b/>
        </w:rPr>
        <w:t xml:space="preserve">Quelle: </w:t>
      </w:r>
      <w:r>
        <w:t>https://mcp.opencaselaw.ch/entscheid/bger_5C.203_2000</w:t>
      </w:r>
    </w:p>
    <w:p>
      <w:r>
        <w:t>FR: TF 5C.203/2000 du 26 octobre 2000</w:t>
      </w:r>
    </w:p>
    <w:p>
      <w:r>
        <w:t>IT: TF 5C.203/2000 del 26 ottobre 2000</w:t>
      </w:r>
    </w:p>
    <w:p>
      <w:pPr>
        <w:pStyle w:val="Heading2"/>
      </w:pPr>
      <w:r>
        <w:t>Erwägungen</w:t>
      </w:r>
    </w:p>
    <w:p>
      <w:r>
        <w:rPr>
          <w:b/>
        </w:rPr>
        <w:t>E. 5</w:t>
      </w:r>
    </w:p>
    <w:p>
      <w:r>
        <w:t>Nach obergerichtlicher Feststellung hat der Kläger vor den kantonalen Instanzen nicht behauptet, die Beklagten hätten gewusst bzw. bei gehöriger Aufmerksamkeit wissen müssen, dass die jahrzehntelange Praxis der Parkplatznutzung dem Willen der seinerzeitigen Vertragsparteien widerspreche, und sie somit diese Praxis bösgläubig ausüben würden. Der Kläger beschränkt sich damit neue Tatsachen vorzubringen, in der Absicht, das Versäumte nachzuholen, ohne sich aber mit der obergerichtlichen Begründung auseinander zu setzen. Damit ist indessen eine Bundesrechtsverletzung nicht rechtsgenüglich vorgetragen ( Art. 55 Abs. 1 lit. c OG ).</w:t>
      </w:r>
    </w:p>
    <w:p>
      <w:r>
        <w:t>6.-Zusammenfassend macht der Kläger geltend, das Gericht werte ohne jeglichen Grund das Gewohnheitsrecht stärker als die äusserst genauen Dienstbarkeiten; der Grundbucheintrag sei deutlich und bedürfe keines Interpretationsspielraumes; "es" sei nicht seit längerer Zeit unangefochten gewesen; nach Auskunft des früheren Filialleiters der Bank W.________ ergebe sich ein anderes Bild von der Beklagten 1, die nur auf ihren eigenen Nutzen ausgehe. Mit diesen allgemeinen Hinweisen wird indessen nicht rechtsgenüglich dargetan, inwiefern das Obergericht mit seinem Urteil Bundesrecht verletzt haben könnte ( Art. 55 Abs. 1 lit. c OG ).</w:t>
      </w:r>
    </w:p>
    <w:p>
      <w:r>
        <w:t>7.-Damit ist die Berufung abzuweisen, soweit überhaupt darauf eingetreten werden kann. Das angefochtene Urteil ist folglich zu bestätigen. Bei diesem Ausgang des Verfahrens wird der Kläger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