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5C.200/2002 vom 16. Oktober 2002</w:t>
      </w:r>
    </w:p>
    <w:p>
      <w:r>
        <w:t>Bundesgericht, 2002-10-16, DE</w:t>
      </w:r>
    </w:p>
    <w:p>
      <w:r>
        <w:rPr>
          <w:b/>
        </w:rPr>
        <w:t xml:space="preserve">Quelle: </w:t>
      </w:r>
      <w:r>
        <w:t>https://mcp.opencaselaw.ch/entscheid/bger_5C.200_2002</w:t>
      </w:r>
    </w:p>
    <w:p>
      <w:r>
        <w:t>FR: TF 5C.200/2002 du 16 octobre 2002</w:t>
      </w:r>
    </w:p>
    <w:p>
      <w:r>
        <w:t>IT: TF 5C.200/2002 del 16 ottobre 2002</w:t>
      </w:r>
    </w:p>
    <w:p>
      <w:pPr>
        <w:pStyle w:val="Heading2"/>
      </w:pPr>
      <w:r>
        <w:t>Erwägungen</w:t>
      </w:r>
    </w:p>
    <w:p>
      <w:r>
        <w:rPr>
          <w:b/>
        </w:rPr>
        <w:t>E. 1.1</w:t>
      </w:r>
    </w:p>
    <w:p>
      <w:r>
        <w:t>Art. 44 OG hält fest, dass die Berufung in nicht vermögensrechtlichen Zivilrechtsstreitigkeiten zulässig ist, sowie in einzeln aufgeführten Zivilsachen, die nicht zur streitigen Gerichtsbarkeit gehören. Der im Gesetz aufgeführte Katalog der berufungsfähigen Fälle der nichtstreitigen Gerichtsbarkeit ist grundsätzlich abschliessend ( BGE 118 Ia 473 E. 2a). Berufungsfähig ist nach Art. 44 lit. e OG die Entmündigung und die Anordnung einer Beistandschaft sowie die Aufhebung dieser Verfügung.</w:t>
      </w:r>
    </w:p>
    <w:p>
      <w:r>
        <w:rPr>
          <w:b/>
        </w:rPr>
        <w:t>E. 1.2</w:t>
      </w:r>
    </w:p>
    <w:p>
      <w:r>
        <w:t>Nicht mit Berufung angefochten werden kann demnach zum Vornherein die Amtsenthebung des bisherigen Beirates (Geiser, Basler Kommentar, N. 31 zu Art. 446-450 ZGB , vgl. auch N. 44 zu Art. 420 ZGB ). Soweit sich die Berufung hiergegen richtet, ist darauf nicht einzutreten. Die Anordnung einer Beistandschaft ist demgegenüber grundsätzlich berufungsfähig. Es liesse sich zwar fragen, ob an der Beurteilung der Berufung in diesem Punkt noch ein Rechtsschutzinteresse besteht, nachdem mit dem angefochtenen Entscheid auch die Amtsenthebung des Beirates bestätigt wurde, weshalb es des Beistandes ad hoc für die Zukunft nicht mehr bedarf. Die Frage kann offen bleiben, denn, wie nachfolgend zu zeigen ist, liegt eine Verletzung von Bundesrecht jedenfalls nicht vor.</w:t>
      </w:r>
    </w:p>
    <w:p>
      <w:r>
        <w:rPr>
          <w:b/>
        </w:rPr>
        <w:t>E. 2.1</w:t>
      </w:r>
    </w:p>
    <w:p>
      <w:r>
        <w:t>Die Berufungsklägerin hat im Jahre 1998, was unstreitig ist, ihren früheren Wohnsitz im Oberengadin nach Ascona verlegt. Die vormundschaftliche Massnahme wurde jedoch bisher, übrigens zunächst im Einvernehmen mit der Berufungsklägerin, durch die Vormundschaftsbehörde des Kreises Oberengadin weitergeführt. In einem Entscheid, der vorliegend nicht Anfechtungsgegenstand bildet, hat das Kantonsgericht von Graubünden die Vormundschaftsbehörde des Kreises Oberengadin angewiesen, zu prüfen, ob die bestehende vormundschaftliche Massnahme aufrechtzuerhalten ist und bei Nichtaufhebung die Übertragung der Beiratschaft an die am Wohnsitz zuständige Behörde in die Wege zu leiten. Die Berufungsklägerin macht geltend, dass örtlich die Bündner Behörden bereits für die vorliegend getroffenen Massnahmen nicht mehr zuständig gewesen wären.</w:t>
      </w:r>
    </w:p>
    <w:p>
      <w:r>
        <w:rPr>
          <w:b/>
        </w:rPr>
        <w:t>E. 2.2</w:t>
      </w:r>
    </w:p>
    <w:p>
      <w:r>
        <w:t>Zuständig zur Anordnung und Führung vormundschaftlicher Massnahmen ist gemäss dem im Zivilgesetzbuch normierten Wohnsitzprinzip (Art. 376 Abs. 1, 396 Abs. 1 und 315 Abs. 1 ZGB) grundsätzlich die Vormundschaftsbehörde am gesetzlichen Wohnsitz des Massnahmebedürftigen. Dieser Wohnsitz bestimmt sich nach den gesetzlichen Wohnsitzvorschriften ( Art. 23 ff. ZGB ). Massgebend für die Zuständigkeit ist dabei der Wohnsitz im Zeitpunkt der Einleitung des vormundschaftlichen Massnahmeverfahrens. Diese Zuständigkeit bleibt, wie die bei der Verfahrenseinleitung gesetzlich begründete Zuständigkeit einer Verwaltungs- oder Gerichtsbehörde schlechthin, bis zur rechtskräftigen Erledigung des eingeleiteten Verfahrens bestehen, womit vermieden wird, dass dieses durch Wohnsitzwechsel des Schutzbedürftigen unterlaufen, verzögert oder gar verhindert wird. Die Vormundschaftsbehörde, die eine rechtskräftig angeordnete vormundschaftliche Massnahme führt, bleibt zu deren Führung auch nach einem Wohnsitzwechsel des Massnahmebedürftigen bis zu deren Übertragung bzw. Übernahme durch die infolgedessen neu zuständige Vormundschaftsbehörde ( Art. 377 ZGB ) zuständig; sie hat während der Führung der Massnahme bis dahin alles für den Massnahmebedürftigen Erforderliche vorzunehmen und darf die Massnahme erst dann, wenn nichts mehr vorzukehren ist und die Massnahme unverändert weitergeführt werden kann, an die neu zuständige Vormundschaftsbehörde übertragen. Dabei geht die Massnahme erst mit deren Übernahme durch die neu zuständige Vormundschaftsbehörde auf diese über.</w:t>
      </w:r>
    </w:p>
    <w:p>
      <w:r>
        <w:rPr>
          <w:b/>
        </w:rPr>
        <w:t>E. 2.3</w:t>
      </w:r>
    </w:p>
    <w:p>
      <w:r>
        <w:t>Das Bundesgericht hat allerdings in einem neueren Urteil ausgeführt, für die Errichtung einer Vormundschaft bei einer verbeiständeten Person, welche ihren Wohnsitz verlegt habe, sei selbst dann nicht mehr die bisherige Vormundschaftsbehörde zuständig, sondern diejenige am neuen Wohnsitz, wenn eine Übertragung der vormundschaftlichen Massnahme noch nicht stattgefunden hat. Begründet wurde der Entscheid damit, dass zwar mangels Übertragung der vormundschaftlichen Massnahme die Pflicht zur Weiterführung am ursprünglichen Wohnsitz fortbestehe, aber neue Massnahmen, welche entscheidend in die Freiheit des Massnahmebedürftigen eingriffen, wie dies bei Errichtung einer Vormundschaft bei bestehender Beistandschaft der Fall sei, am neuen Wohnsitz zu erfolgen hätten ( BGE 126 III 415 ). Zu Recht hält das Kantonsgericht hierzu fest, dass vorliegend lediglich die bisherige Massnahme weitergeführt, infolge einer Interessenkollision des Beirats eine Beistandschaft ad hoc errichtet und schliesslich der Beirat des Amtes enthoben wurde, was für die Schutzbedürftige keine zusätzliche Einschränkung der Handlungsfreiheit bedeutete. Im Rahmen der gesetzlich vorgeschriebenen Weiterführung der Massnahme bis zur erfolgten Übertragung an die neu zuständige Vormundschaftsbehörde lagen diese Anordnungen auch unter Beachtung des vom Bundesgericht in BGE 126 III 415 getroffenen Entscheids ohne weiteres in der Kompetenz der bisher zuständigen Bündner Behörden.</w:t>
      </w:r>
    </w:p>
    <w:p>
      <w:r>
        <w:rPr>
          <w:b/>
        </w:rPr>
        <w:t>E. 3</w:t>
      </w:r>
    </w:p>
    <w:p>
      <w:r>
        <w:t>Gemäss Art. 392 Ziff. 2 ZGB kann ein Beistand ernannt werden, wenn der gesetzliche Vertreter einer unmündigen oder entmündigten Person in einer Angelegenheit Interessen hat, die denen des Vertretenen widersprechen. Die Bestimmung ist analog auch anwendbar für Interessenkollisionen zwischen der verbeirateten Person und dem Beirat (Egger, Zürcher Kommentar, N. 24 zu Art. 392 ZGB ; Schnyder/Murer, Berner Kommentar, N. 78 zu Art. 392 ZGB ). Die Verbeiständung ist schon bei blosser Möglichkeit der Gefährdung der Interessen des Vertretenen geboten, ohne dass es darauf ankäme, ob sich der Vertreter im Einzelfall um objektive Wahrung der Interessen der schutzbefohlenen Person bemüht ( BGE 118 II 101 E. 4; 107 II 105 E. 4; Egger, a.a.O., N. 26 zu Art. 392 ZGB ; Schnyder/Murer, a.a.O., N. 84 zu Art. 392 ZGB ).</w:t>
      </w:r>
    </w:p>
    <w:p>
      <w:r>
        <w:t>Nach den Feststellungen des Kantonsgerichts ist der Beirat, L.________, zugleich Verwaltungsratspräsident der S.________ AG, welche das Projekt "X.________" führt, und an der er zu einem Sechstel beteiligt ist. Als Beirat hat L.________ der S.________ AG Aufträge erteilt. Als Anwalt hat er darüber hinaus auch weitere am Projekt interessierte Grundeigentümer vertreten. Deren Interessen sind zum Teil anders gelagert, lehnen doch die Erben T.________ in der Zwischenzeit die bauliche Realisierung in der von der S.________ AG vorgeschlagenen Form ab und sind sie nicht bereit, die von der S.________ AG getätigten Planungsarbeiten und Verkaufsbemühungen zu bezahlen, da sie keine entsprechenden Aufträge erteilt hätten. Streitig unter den Beteiligten ist, wer für den getätigten Aufwand von rund einer Million Franken (Planungskosten der S.________ AG und Anwaltskosten) aufzukommen hat. Das Kantonsgericht weist ferner darauf hin, dass der Beirat im Oktober 2001 der Vormundschaftsbehörde einen Vorvertrag zum Abschluss eines Kaufvertrages mit Begründung eines limitierten Vorkaufsrechts zur Genehmigung vorgelegt hat, wobei zwei der drei potentiellen Käufer zum fraglichen Zeitpunkt dem Verwaltungsrat der S.________ AG angehörten. Darüber hinaus war vorgesehen, dass ein Teil der Kaufpreiszahlung in der Höhe von Fr. 300'000.-- nicht an die Berufungsklägerin, sondern an die S.________ AG geleistet werden sollte, zur Tilgung angeblicher Honorarguthaben aus den vom Beirat beziehungsweise der S.________ AG selbst geleisteten Projektierungsarbeiten.</w:t>
      </w:r>
    </w:p>
    <w:p>
      <w:r>
        <w:t>Angesichts der dargestellten vielschichtigen Verquickung der Interessenlagen mutet es als pure Trölerei an, wenn in der Berufung weiterhin von gleichgerichteten Interessen gesprochen und eine Interessenkollision des Beirats, der in dieser Angelegenheit auch eigennützige Ziele verfolgt, in Abrede gestellt wird.</w:t>
      </w:r>
    </w:p>
    <w:p>
      <w:r>
        <w:rPr>
          <w:b/>
        </w:rPr>
        <w:t>E. 4</w:t>
      </w:r>
    </w:p>
    <w:p>
      <w:r>
        <w:t>Die Berufung erweist sich damit als unbegründet und ist abzuweisen, soweit darauf eingetreten werden kann.</w:t>
      </w:r>
    </w:p>
    <w:p>
      <w:r>
        <w:t>Diesem Verfahrensausgang entsprechend hat die Berufungsklägerin die bundesgerichtlichen Kosten zu tragen ( Art. 156 Abs. 1 OG ). Sie stellt zwar ein Gesuch um unentgeltliche Rechtspflege und Verbeiständung ( Art. 152 ZGB ). Dieses kann jedoch nicht gutgeheissen werden, da das Begehren zum Vornherein als aussichtslos bezeichnet werden muss und im Übrigen auch die Bedürftigkeit nicht ausgewiesen ist. Unter Berücksichtigung des Grundbetrags für ein Ehepaar von Fr. 1'550.--, einem zivilprozessualen Zuschlag von 25 % (vgl. BGE 124 I 1 E. 2a), d.h. Fr. 387.50, dem Mietzins von Fr. 1'590.--, den Heizkosten von Fr. 300.--, den Krankenkassenbeiträgen von Fr. 595.-- sowie Steuern von Fr. 300.--, ergibt sich ein zivilprozessualer Bedarf von Fr. 4'722.50. Nicht zu berücksichtigen sind die Kosten für einen Personenwagen; eines solchen bedarf es für Arztbesuche nicht. Bei einem Renteneinkommen von Fr. 6'000.-- können die Kosten des vorliegenden Verfahrens innert angemessener Frist abgetragen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