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5C.1/2002 vom 20. Februar 2002</w:t>
      </w:r>
    </w:p>
    <w:p>
      <w:r>
        <w:t>Bundesgericht, 2002-02-20, DE</w:t>
      </w:r>
    </w:p>
    <w:p>
      <w:r>
        <w:rPr>
          <w:b/>
        </w:rPr>
        <w:t xml:space="preserve">Quelle: </w:t>
      </w:r>
      <w:r>
        <w:t>https://mcp.opencaselaw.ch/entscheid/bger_5C.1_2002</w:t>
      </w:r>
    </w:p>
    <w:p>
      <w:r>
        <w:t>FR: TF 5C.1/2002 du 20 février 2002</w:t>
      </w:r>
    </w:p>
    <w:p>
      <w:r>
        <w:t>IT: TF 5C.1/2002 del 20 febbraio 2002</w:t>
      </w:r>
    </w:p>
    <w:p>
      <w:pPr>
        <w:pStyle w:val="Heading2"/>
      </w:pPr>
      <w:r>
        <w:t>Regeste</w:t>
      </w:r>
    </w:p>
    <w:p>
      <w:r>
        <w:t>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der Beklagten um Gewährung der unentgeltlichen Rechtspflege wird abgewiesen.</w:t>
      </w:r>
    </w:p>
    <w:p>
      <w:r>
        <w:rPr>
          <w:b/>
        </w:rPr>
        <w:t>E. 2</w:t>
      </w:r>
    </w:p>
    <w:p>
      <w:r>
        <w:t>Der Beklagten wird mit separatem Formular eine Frist von zwanzig Tagen angesetzt, um einen Kostenvorschuss von Fr. 16'000.-- zu leisten, unter der Androhung, dass bei Säumnis auf die Berufung nicht eingetreten würde.</w:t>
      </w:r>
    </w:p>
    <w:p>
      <w:r>
        <w:rPr>
          <w:b/>
        </w:rPr>
        <w:t>E. 3</w:t>
      </w:r>
    </w:p>
    <w:p>
      <w:r>
        <w:t>Dieser Beschluss wird den Parteien schriftlich mitgeteilt. _____________ Lausanne, 20. Februar 2002 Im Namen der II. Zivilabteilung des SCHWEIZERISCHEN BUNDESGERICHTS 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