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5C.187/2001 vom 15. Oktober 2001</w:t>
      </w:r>
    </w:p>
    <w:p>
      <w:r>
        <w:t>Bundesgericht, 2001-10-15, DE</w:t>
      </w:r>
    </w:p>
    <w:p>
      <w:r>
        <w:rPr>
          <w:b/>
        </w:rPr>
        <w:t xml:space="preserve">Quelle: </w:t>
      </w:r>
      <w:r>
        <w:t>https://mcp.opencaselaw.ch/entscheid/bger_5C.187_2001</w:t>
      </w:r>
    </w:p>
    <w:p>
      <w:r>
        <w:t>FR: TF 5C.187/2001 du 15 octobre 2001</w:t>
      </w:r>
    </w:p>
    <w:p>
      <w:r>
        <w:t>IT: TF 5C.187/2001 del 15 ottobre 2001</w:t>
      </w:r>
    </w:p>
    <w:p>
      <w:pPr>
        <w:pStyle w:val="Heading2"/>
      </w:pPr>
      <w:r>
        <w:t>Regeste</w:t>
      </w:r>
    </w:p>
    <w:p>
      <w:r>
        <w:t>Familienrecht</w:t>
      </w:r>
    </w:p>
    <w:p>
      <w:pPr>
        <w:pStyle w:val="Heading2"/>
      </w:pPr>
      <w:r>
        <w:t>Erwägungen</w:t>
      </w:r>
    </w:p>
    <w:p>
      <w:r>
        <w:rPr>
          <w:b/>
        </w:rPr>
        <w:t>E. 1</w:t>
      </w:r>
    </w:p>
    <w:p>
      <w:r>
        <w:t>Der Berufungskläger rügt am vorinstanzlichen Urteil als bundesrechtswidrig in erster Linie, dass das Verwaltungsgericht den vorliegend in Frage stehenden Entzug der elterlichen Sorge ausschliesslich unter dem Gesichtswinkel der strengen Voraussetzungen von Art. 311 Abs. 1 ZGB geprüft habe, deren Erfüllung zur Errichtung einer Vormundschaft (Art. 311 Abs. 2) führe. Vorliegend gehe es jedoch nur um einen Wechsel der elterlichen Sorge von einem Elternteil zum andern, weshalb der Fall analog Art. 134 Abs. 1 ZGB (oder Art. 298a Abs. 2 ZGB ) - mit seinen weniger strengen Voraussetzungen - zu beurteilen sei, unter Berücksichtigung auch der Interessen des Berufungsklägers als Vater. Dabei sei angesichts des Aufenthaltes der Tochter beim Berufungskläger seit Ostern 1997 die Voraussetzung einer wesentlichen Veränderung der Verhältnisse ohne weiters zu bejahen und ebenso sei angesichts der Gefahr von Zuständigkeitskonflikten zwischen den Eltern der Entzug der elterlichen Sorge mit Rücksicht auf das Kindeswohl geboten. Indessen stellen diese - übrigens geringfügigen - Kompetenzabgrenzungsprobleme zwischen dem Berufungskläger (als Obhutsberechtigtem) und der Berufungsbeklagten (als Inhaberin der elterlichen Sorge) neue Behauptungen dar und sind daher auf alle Fälle unbeachtlich ( Art. 55 Abs. 1 lit. c OG ). Dass die Voraussetzungen des Entzuges der elterlichen Sorge ( Art. 311 Abs. 1 ZGB ) deswegen besonders streng seien, weil bei deren Erfüllung an die Stelle der elterlichen Sorge die Vormundschaft trete, ist im Übrigen nicht zutreffend; vielmehr zeigt gerade Art. 311 Abs. 2 ZGB (e contra-rio), dass der Gesetzgeber bei Art. 311 ZGB durchaus auch an den Fall des Überganges der elterlichen Sorge von beiden Eltern auf einen Elternteil gedacht hat. Darüber hinaus ist fraglich, ob Art. 134 Abs. 1 ZGB (oder Art. 298a Abs. 2 ZGB ) effektiv einen Entzug der elterlichen Sorge unter weniger strengen Voraussetzungen zulässt als Art. 311 Abs. 1 ZGB . In der Literatur wird teilweise eine Neuzuteilung der elterlichen Sorge im Sinne von Art. 134 Abs. 1 ZGB - in Weiterführung der bundesgerichtlichen Praxis zu Art. 157 aZGB (zuletzt BGE 111 II 316 ) - nur als zulässig angesehen, wenn die Änderung der Verhältnisse dies "zwingend erfordert" (Sutter/Frei-burghaus, Kommentar zum neuen Scheidungsrecht, N. 11 zu Art. 134 ZGB ), was im Ergebnis kaum eine weniger strenge (allgemeine) Voraussetzung darstellt als die in Art. 311 Abs. 1 ZGB speziell umschriebenen Bedingungen. Teilweise wird die bisherige bundesgerichtliche Praxis eher als "obere Grenze" einer strengen Auslegung der Veränderung der Verhältnisse betrachtet; in den Materialien werde nicht verlangt, dass eine Neuzuteilung der elterlichen Sorge erst dann zulässig sei, wenn sie durch das Kindeswohl zwingend geboten sei (Annatina Wirz, in: Praxiskommentar Scheidungsrecht [Hrsg. : Ingeborg Schwenzer], N. 13 zu Art. 134 mit Art. 315a/b ZGB). Selbst wenn man aber annimmt, Art. 311 Abs. 1 ZGB sei vorliegend unter Berücksichtigung von Art. 134 Abs. 1 ZGB (bzw. von Art. 298a Abs. 2 ZGB ) auszulegen und Art. 134 Abs. 1 ZGB enthalte weniger strenge Voraussetzungen als Art. 311 Abs. 1 ZGB , kann nicht gesagt werden, erstere seien vorliegend erfüllt, sind doch nach dem Gesagten die dabei geltend gemachten Umstände als Noven unbeachtlich, ganz abgesehen davon, dass sie eben auch materiell nicht relevant wären. a) Fehlt im Original. b) Im Übrigen betrachtet der Berufungskläger auch die Voraussetzungen von Art. 311 Abs. 1 ZGB als erfüllt, vor allem aufgrund der "Ortsabwesenheit" der Berufungsbeklagten ( Art. 311 Abs. 1 Ziff. 1 ZGB ) und des Umstandes, dass sich die Berufungsbeklagte nicht ernstlich um das Kind gekümmert habe und ihren Unterhaltsverpflichtungen nicht nachgekommen sei ( Art. 311 Abs. 1 Ziff. 2 ZGB ). Der Hinweis auf die "Ortsabwesenheit" der Berufungsbeklagten geht vorliegend von vornherein fehl, da damit nur qualifizierte Fälle, welche die pflichtgemässe Ausübung der elterlichen Sorge verunmöglichen, gemeint sind, nicht bloss kleinere räumliche Distanzen wie vorliegend (vgl. Hegnauer, Vormundschaftliche Hilfe für Flüchtlinge - Beistandschaft, in: ZVW 40/1985 S. 109 Ziff. 2 lit. A, und auch Justiz- und Polizeidepartement St. Gallen in ZVW 34/1979 S. 34 lit. b; ferner auch BGE 119 II 9 betreffend den Fall einer Verbüssung einer langjährigen Freiheitsstrafe). Was den Vorwurf betrifft, die Berufungsbeklagte habe sich nicht ernstlich um das Kind gekümmert, so hat die Vorinstanz sehr einlässlich begründet, warum sich die Mutter diesbezüglich - im Interesse des Kindes - eine gewisse Zurückhaltung auferlegt hat. Auf diese - plausiblen - Erwägungen geht der Berufungskläger gar nicht ein, weshalb auch in diesem Punkt auf die Berufung nicht eingetreten werden kann ( Art. 55 Abs. 1 lit. c OG ; BGE 116 II 745 E. 3 S. 748 f.). Entsprechendes gilt für den Vorwurf der Vernachlässigung der Unterhaltsverpflichtung.</w:t>
      </w:r>
    </w:p>
    <w:p>
      <w:r>
        <w:rPr>
          <w:b/>
        </w:rPr>
        <w:t>E. 2</w:t>
      </w:r>
    </w:p>
    <w:p>
      <w:r>
        <w:t>Des Weiteren rügt der Berufungskläger, dass das Kind Michelle nicht persönlich angehört worden sei, sondern nur über seinen Beistand im Sinne von Art. 308 ZGB . Von den vom Berufungskläger angerufenen Bestimmungen ist vorliegend einzig Art. 12 Abs. 2 UNO-Kinderrechtskonvention direkt anwendbar, wobei dem Berufungskläger nicht entgangen ist, dass diese Bestimmung jedenfalls bei Urteilsunfähigkeit des Kindes auch eine Anhörung über einen Vertreter zulässt (vgl. auch BGE 124 III 90 E. 3b S. 93). Dabei hat die Vorinstanz auch hier eingehend begründet, warum sie vorliegend von einer persönlichen Befragung des Kindes abgesehen hat, wobei sie unter anderem erwogen hat, dass weder eine Abweisung noch eine Gutheissung der Beschwerde einen Einfluss auf die faktische Lebenssituation von C.________ hätte. Letzteres übersieht der Berufungskläger, wenn er geltend macht, der persönliche Wille des Kindes, beim Vater zu bleiben und nicht zur Mutter zurückkehren zu müssen, sei zu respektieren, denn effektiv steht eine Umplatzierung des Kindes vorliegend gar nicht zur Diskussion, vielmehr lediglich eine rechtliche Umgestaltung. Es war deshalb in der Tat gerechtfertigt, auf eine persönliche Anhörung des damals etwa 9 1/2-jährigen Kindes, welches bezüglich der Rechtsfragen nicht urteilsfähig war, zu verzichten. Auf die anderen Teile der vorinstanzlichen Begründung geht der Berufungskläger auch im vorliegenden Zusammenhang gar nicht ein.</w:t>
      </w:r>
    </w:p>
    <w:p>
      <w:r>
        <w:rPr>
          <w:b/>
        </w:rPr>
        <w:t>E. 3</w:t>
      </w:r>
    </w:p>
    <w:p>
      <w:r>
        <w:t>Unter diesen Umständen ist die Berufung abzuweisen, soweit darauf einzutreten war, und das vorinstanzliche Urteil ist zu bestätigen.</w:t>
      </w:r>
    </w:p>
    <w:p>
      <w:r>
        <w:rPr>
          <w:b/>
        </w:rPr>
        <w:t>E. 4</w:t>
      </w:r>
    </w:p>
    <w:p>
      <w:r>
        <w:t>Ausgangsgemäss wird der Berufungskläger für das bundesgerichtliche Verfahren kostenpflichtig ( Art. 153 OG ). Die Zusprechung einer Parteientschädigung an die Gegenpartei ( Art. 159 OG ) entfällt mangels Einholung einer Berufungsantwort.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