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5C.17/2001 vom 2. April 2001</w:t>
      </w:r>
    </w:p>
    <w:p>
      <w:r>
        <w:t>Bundesgericht, 2001-04-02, DE</w:t>
      </w:r>
    </w:p>
    <w:p>
      <w:r>
        <w:rPr>
          <w:b/>
        </w:rPr>
        <w:t xml:space="preserve">Quelle: </w:t>
      </w:r>
      <w:r>
        <w:t>https://mcp.opencaselaw.ch/entscheid/bger_5C.17_2001</w:t>
      </w:r>
    </w:p>
    <w:p>
      <w:r>
        <w:t>FR: TF 5C.17/2001 du 2 avril 2001</w:t>
      </w:r>
    </w:p>
    <w:p>
      <w:r>
        <w:t>IT: TF 5C.17/2001 del 2 aprile 2001</w:t>
      </w:r>
    </w:p>
    <w:p>
      <w:pPr>
        <w:pStyle w:val="Heading2"/>
      </w:pPr>
      <w:r>
        <w:t>Regeste</w:t>
      </w:r>
    </w:p>
    <w:p>
      <w:r>
        <w:t>Sachenrecht</w:t>
      </w:r>
    </w:p>
    <w:p>
      <w:pPr>
        <w:pStyle w:val="Heading2"/>
      </w:pPr>
      <w:r>
        <w:t>Erwägungen</w:t>
      </w:r>
    </w:p>
    <w:p>
      <w:r>
        <w:rPr>
          <w:b/>
        </w:rPr>
        <w:t>E. 2</w:t>
      </w:r>
    </w:p>
    <w:p>
      <w:r>
        <w:t>Die Kläger machen einerseits geltend, das Obergericht habe ihren Anspruch auf rechtliches Gehör verletzt, indem es nicht näher auf ihre Argumentation eingegangen sei, die Beklagte trage eine "Opfermitverantwortung". Andererseits bringen sie vor, der Darlehensvertrag sei infolge Überbelehnung teilnichtig. Zur ersten Rüge ist festzuhalten, dass die Verletzung verfassungsmässiger Rechte, hier des Gehörsanspruchs ( Art. 29 Abs. 2 BV ), nicht mit Berufung, sondern mit staatsrechtlicher Beschwerde geltend zu machen ist (vgl. Art. 43 Abs. 1 OG ). Die zweite Rüge ist unbehelflich: Zunächst hat das Obergericht für das Bundesgericht verbindlich festgestellt, dass das Darlehen aufgrund einer Verkehrswertschätzung von 1,3 bis 1,35 Mio. Franken gewährt wurde. Von einer Überbelehnung kann mithin nicht gesprochen werden. Aber auch sonst kann nicht angenommen werden, es liege ein sittenwidriger Vertrag vor, der im Sinne von Art. 20 Abs. 2 OR Teilnichtigkeit nach sich zöge. Weder das Rechtsmissbrauchsverbot ( Art. 2 ZGB ) noch Art. 27 Abs. 2 ZGB , noch Art. 19 Abs. 2 OR schützen einen Darlehensnehmer, der seine Verpflichtungen nicht erfüllt, vor der Verwertung der zur Verfügung gestellten Sicherheit. Daran ändert auch nichts, dass diese unter Umtänden nicht ausreicht, den Gläubiger vollumfänglich schadlos zu halten. Ebenso wenig vermag den Klägern schliesslich die geltend gemachte Analogie zur "Opfermitverantwortung" im Strafrecht zu helfen. Dieser Begriff wird im Zusammenhang mit dem Tatbestandsmerkmal der Arglist beim Betrug ( Art. 146 StGB ) verwendet (dazu BGE 119 IV 28 E. 3 f S. 38; Trechsel, Schweizerisches Strafgesetzbuch, Kurzkommentar, 2. Aufl. , Zürich 1997, Rz. 7 zu Art. 146). Arglist des Schuldners ist aber zivilrechtlich nicht Voraussetzung für die Geltendmachung einer Forderung oder die Inanspruchnahme einer vertraglich gewährten Sicherheit.</w:t>
      </w:r>
    </w:p>
    <w:p>
      <w:r>
        <w:rPr>
          <w:b/>
        </w:rPr>
        <w:t>E. 3</w:t>
      </w:r>
    </w:p>
    <w:p>
      <w:r>
        <w:t>Die Berufung ist nach dem Gesagten offensichtlich unbegründet und daher im Verfahren nach Art. 36a OG abzuweisen, soweit darauf einzutreten ist. Entsprechend diesem Verfahrensausgang haben die Kläger die bundesgerichtlichen Kosten zu tragen ( Art. 156 Abs. 1 OG ). Da keine Berufungsantwort eingeholt worden ist, sind der Beklagten keine Kosten erwachsen, so dass die Zusprechung einer Parteientschädigung von vornherein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